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Univerzitet u Beogradu – Filozofski fakultet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Odeljenje za etnologiju i antropologiju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Opšta metodologija etnologije i antropologije 2026/2027.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dr Miloš Milenković, redovni profesor, naučni savetnik (</w:t>
      </w:r>
      <w:hyperlink r:id="rId6">
        <w:r w:rsidRPr="003A4551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sr-Latn-RS"/>
          </w:rPr>
          <w:t>milmil@f.bg.ac.rs</w:t>
        </w:r>
      </w:hyperlink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) i MA Tamara Zarić, asistentkinja, istraživačica-pripravnica (</w:t>
      </w:r>
      <w:hyperlink r:id="rId7">
        <w:r w:rsidRPr="003A4551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sr-Latn-RS"/>
          </w:rPr>
          <w:t>tamara.zaric@f.bg.ac.rs</w:t>
        </w:r>
      </w:hyperlink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)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Sredom od 11.30h u 508</w:t>
      </w: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tbl>
      <w:tblPr>
        <w:tblStyle w:val="a"/>
        <w:tblW w:w="92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9"/>
        <w:gridCol w:w="8056"/>
      </w:tblGrid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Datum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Teme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F71BEA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Dupla predavanja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07.10.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Pregled kursa i literature, dogovor o n</w:t>
            </w: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 xml:space="preserve">astavi i ispitu. </w:t>
            </w:r>
          </w:p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Podela tema za prezentacije.</w:t>
            </w:r>
          </w:p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Uvodno predavanje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14.10.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Problemi naučnog statusa antropologije</w:t>
            </w:r>
          </w:p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Tri kritike – reprezentacija, realizam, autoritet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21.10.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Identitet i saznanje u etnologiji i antropologiji</w:t>
            </w:r>
          </w:p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Nativna vs. kosmopolitska antropologija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28.10.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 xml:space="preserve">Etičke specifičnosti etnoloških i antropoloških istraživanja. </w:t>
            </w:r>
          </w:p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Politika znanja – zastupanje i distanca u doba populizma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04.11.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 xml:space="preserve">Kvantitativna vs. Kvalitativna istraživanja. </w:t>
            </w:r>
          </w:p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Prednosti i zamke radikalnog kvali</w:t>
            </w: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tativizma antropologije.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11.11.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Neradni dan (drzavni praznik)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18.11.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 xml:space="preserve">Kako diplomirati u roku. </w:t>
            </w:r>
          </w:p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Tipični aspekti, elementi i problemi akademskog pisanja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tabs>
                <w:tab w:val="left" w:pos="1144"/>
              </w:tabs>
              <w:contextualSpacing/>
              <w:rPr>
                <w:rFonts w:ascii="Georgia" w:eastAsia="Times New Roman" w:hAnsi="Georgia" w:cs="Times New Roman"/>
                <w:color w:val="FF0000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25.11.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Priprema prezentacija</w:t>
            </w:r>
            <w:r w:rsidRPr="003A4551">
              <w:rPr>
                <w:rFonts w:ascii="Georgia" w:eastAsia="Times New Roman" w:hAnsi="Georgia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kod kuće + konsultacije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tabs>
                <w:tab w:val="left" w:pos="1144"/>
              </w:tabs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02.12.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Priprema prezentacija + konsultacije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F71BEA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Duple vežbe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09.12.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Vežbe – seminarska izlaganja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16.12.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Vežbe – seminarska izlaganja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23.12.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Vežbe – seminarska izlaganja</w:t>
            </w:r>
          </w:p>
        </w:tc>
      </w:tr>
      <w:tr w:rsidR="00F71BEA" w:rsidRPr="003A4551">
        <w:tc>
          <w:tcPr>
            <w:tcW w:w="1189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30.12.</w:t>
            </w:r>
          </w:p>
        </w:tc>
        <w:tc>
          <w:tcPr>
            <w:tcW w:w="8056" w:type="dxa"/>
          </w:tcPr>
          <w:p w:rsidR="00F71BEA" w:rsidRPr="003A4551" w:rsidRDefault="003A4551" w:rsidP="003A4551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</w:pPr>
            <w:r w:rsidRPr="003A4551">
              <w:rPr>
                <w:rFonts w:ascii="Georgia" w:eastAsia="Times New Roman" w:hAnsi="Georgia" w:cs="Times New Roman"/>
                <w:sz w:val="24"/>
                <w:szCs w:val="24"/>
                <w:lang w:val="sr-Latn-RS"/>
              </w:rPr>
              <w:t>Vežbe – seminarska izlaganja</w:t>
            </w:r>
          </w:p>
        </w:tc>
      </w:tr>
    </w:tbl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Konačnu ocenu stičete iz dva dela.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Prvi deo je pisani rad, u formi testa, koji vredi 50% ocene (do 50 poena)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Drugi deo je PPT prezentacija i njena usmena odbrana, vredi 50% (do 50 poena)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Teme seminarskih izlaganja se „izvlače“, kao na lutriji, na uvodnom predavanju.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Literaturu čini deo knji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e ili par članaka, približno iste dužine.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u w:val="single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u w:val="single"/>
          <w:lang w:val="sr-Latn-RS"/>
        </w:rPr>
        <w:t>Zadatak nije prepričavanje zadate literature: izlaganje treba da identifikuje metodološki problem, rekonstruiše i uporedi argumente iz zadatih tekstova i ponudi obrazložen zaključak.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Svi studenti šalju svoje prezentacije do </w:t>
      </w:r>
      <w:r w:rsidRPr="003A4551">
        <w:rPr>
          <w:rFonts w:ascii="Georgia" w:eastAsia="Times New Roman" w:hAnsi="Georgia" w:cs="Times New Roman"/>
          <w:color w:val="FF0000"/>
          <w:sz w:val="24"/>
          <w:szCs w:val="24"/>
          <w:highlight w:val="yellow"/>
          <w:lang w:val="sr-Latn-RS"/>
        </w:rPr>
        <w:t>06.12. 2026.</w:t>
      </w:r>
      <w:r w:rsidRPr="003A4551">
        <w:rPr>
          <w:rFonts w:ascii="Georgia" w:eastAsia="Times New Roman" w:hAnsi="Georgia" w:cs="Times New Roman"/>
          <w:color w:val="FF0000"/>
          <w:sz w:val="24"/>
          <w:szCs w:val="24"/>
          <w:lang w:val="sr-Latn-RS"/>
        </w:rPr>
        <w:t xml:space="preserve">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godine Tamari, bez obzira na datum izlaganja, da bi bili u ravnopravnom položaju (svi imaju isto vreme da ih urade). Raspored polaganja se objavljuje narednog dana. Ukoliko niste u mogućnosti da prezent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uje u datom terminu, javite Tamari na mejl.</w:t>
      </w: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lastRenderedPageBreak/>
        <w:t>Konačne ocene se upisuju u ispitnim rokovima.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highlight w:val="yellow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Oba dela se mogu polagati i u ispitnim rokovima (izlaskom na testiranje za pisani deo, odnosno izlaganjem prezentacije. </w:t>
      </w:r>
      <w:r w:rsidR="0091442B" w:rsidRPr="003A4551">
        <w:rPr>
          <w:rFonts w:ascii="Georgia" w:eastAsia="Times New Roman" w:hAnsi="Georgia" w:cs="Times New Roman"/>
          <w:color w:val="FF0000"/>
          <w:sz w:val="24"/>
          <w:szCs w:val="24"/>
          <w:highlight w:val="yellow"/>
          <w:lang w:val="sr-Latn-RS"/>
        </w:rPr>
        <w:t>Čak i ukoliko odlučite da</w:t>
      </w:r>
      <w:r w:rsidR="0091442B" w:rsidRPr="003A4551">
        <w:rPr>
          <w:rFonts w:ascii="Georgia" w:eastAsia="Times New Roman" w:hAnsi="Georgia" w:cs="Times New Roman"/>
          <w:color w:val="FF0000"/>
          <w:sz w:val="24"/>
          <w:szCs w:val="24"/>
          <w:lang w:val="sr-Latn-RS"/>
        </w:rPr>
        <w:t xml:space="preserve"> </w:t>
      </w:r>
      <w:r w:rsidRPr="003A4551">
        <w:rPr>
          <w:rFonts w:ascii="Georgia" w:eastAsia="Times New Roman" w:hAnsi="Georgia" w:cs="Times New Roman"/>
          <w:color w:val="FF0000"/>
          <w:sz w:val="24"/>
          <w:szCs w:val="24"/>
          <w:highlight w:val="yellow"/>
          <w:lang w:val="sr-Latn-RS"/>
        </w:rPr>
        <w:t>izlažete u ispitnom roku, ppt prezentaci</w:t>
      </w:r>
      <w:r w:rsidRPr="003A4551">
        <w:rPr>
          <w:rFonts w:ascii="Georgia" w:eastAsia="Times New Roman" w:hAnsi="Georgia" w:cs="Times New Roman"/>
          <w:color w:val="FF0000"/>
          <w:sz w:val="24"/>
          <w:szCs w:val="24"/>
          <w:highlight w:val="yellow"/>
          <w:lang w:val="sr-Latn-RS"/>
        </w:rPr>
        <w:t xml:space="preserve">je se šalju do istog datuma - </w:t>
      </w:r>
      <w:r w:rsidR="0091442B" w:rsidRPr="003A4551">
        <w:rPr>
          <w:rFonts w:ascii="Georgia" w:eastAsia="Times New Roman" w:hAnsi="Georgia" w:cs="Times New Roman"/>
          <w:color w:val="FF0000"/>
          <w:sz w:val="24"/>
          <w:szCs w:val="24"/>
          <w:highlight w:val="yellow"/>
          <w:lang w:val="sr-Latn-RS"/>
        </w:rPr>
        <w:t>0</w:t>
      </w:r>
      <w:r w:rsidRPr="003A4551">
        <w:rPr>
          <w:rFonts w:ascii="Georgia" w:eastAsia="Times New Roman" w:hAnsi="Georgia" w:cs="Times New Roman"/>
          <w:color w:val="FF0000"/>
          <w:sz w:val="24"/>
          <w:szCs w:val="24"/>
          <w:highlight w:val="yellow"/>
          <w:lang w:val="sr-Latn-RS"/>
        </w:rPr>
        <w:t>6.12.2026</w:t>
      </w:r>
      <w:r w:rsidRPr="003A4551">
        <w:rPr>
          <w:rFonts w:ascii="Georgia" w:eastAsia="Times New Roman" w:hAnsi="Georgia" w:cs="Times New Roman"/>
          <w:sz w:val="24"/>
          <w:szCs w:val="24"/>
          <w:highlight w:val="yellow"/>
          <w:lang w:val="sr-Latn-RS"/>
        </w:rPr>
        <w:t xml:space="preserve">). </w:t>
      </w: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U konačnu ocenu ulaze isključivo poeni stečeni na ova dva dela ispita; ona se dobija sabiranjem bodova stečenih na njima i upisuje u redovnim ispitnim rokovima nakon odslušanog predmeta. </w:t>
      </w: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Prisustvo nastavi nije o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bavezno, posebno za studente koji su objektivno sprečeni, mada se generalno smatra veoma korisnim. </w:t>
      </w: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Prvi deo ispita (pisani, test) se polaže kod Miloša na osnovu predavanja i osnovne literature. Test sadrži 25 pitanja, koja vrede po 2 poena. Ukupan broj p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oena je do 50. Primer testa se nalazi gde i literatura – na Mudl stranici predmeta.</w:t>
      </w: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Struktura ocene </w:t>
      </w: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drugog dela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(prezentacije):</w:t>
      </w:r>
    </w:p>
    <w:p w:rsidR="00F71BEA" w:rsidRPr="003A4551" w:rsidRDefault="003A4551" w:rsidP="003A4551">
      <w:pPr>
        <w:numPr>
          <w:ilvl w:val="0"/>
          <w:numId w:val="1"/>
        </w:num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Sadržaj (do 5 poena): tačnost i relevantnost informacija, logična struktura izlaganja, povezivanje sa literaturom/temom kursa</w:t>
      </w:r>
    </w:p>
    <w:p w:rsidR="00F71BEA" w:rsidRPr="003A4551" w:rsidRDefault="003A4551" w:rsidP="003A4551">
      <w:pPr>
        <w:numPr>
          <w:ilvl w:val="0"/>
          <w:numId w:val="1"/>
        </w:num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Argumentacija i analiza (do 30 poena): sposobnost da se ide dalje od puke reprodukcije činjenica, analitičko razmišljanje, povezivanje s relevantnim sadržajima iz programa studija</w:t>
      </w:r>
    </w:p>
    <w:p w:rsidR="00F71BEA" w:rsidRPr="003A4551" w:rsidRDefault="003A4551" w:rsidP="003A4551">
      <w:pPr>
        <w:numPr>
          <w:ilvl w:val="0"/>
          <w:numId w:val="1"/>
        </w:num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Način prezentacije (do 5 poena): jasnoća govora, poštovanje zadatog vremena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(15 minuta), vizuelna podrška (slajdovi, grafikon, primeri)</w:t>
      </w:r>
    </w:p>
    <w:p w:rsidR="00F71BEA" w:rsidRPr="003A4551" w:rsidRDefault="003A4551" w:rsidP="003A4551">
      <w:pPr>
        <w:numPr>
          <w:ilvl w:val="0"/>
          <w:numId w:val="1"/>
        </w:num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Diskusija (do 10 poena): spremnost da se odgovori na pitanja, uključivanje u raspravu, refleksija o primedbama i komentarima.</w:t>
      </w: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center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    </w:t>
      </w: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LITERATURA ZA PRVI DEO</w:t>
      </w:r>
    </w:p>
    <w:p w:rsidR="00F71BEA" w:rsidRPr="003A4551" w:rsidRDefault="00F71BEA" w:rsidP="003A4551">
      <w:pPr>
        <w:spacing w:line="240" w:lineRule="auto"/>
        <w:ind w:left="284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ind w:left="284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Milenković, Miloš. 2007. Istorija postm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oderne antropologije: Teorija etnografije. Beograd, Srpski genealoški centar. (Idealni etnograf, 51-66; Tri kritike – realizam, reprezentacija, autoritet, 88-126)</w:t>
      </w:r>
    </w:p>
    <w:p w:rsidR="00F71BEA" w:rsidRPr="003A4551" w:rsidRDefault="003A4551" w:rsidP="003A4551">
      <w:pPr>
        <w:spacing w:line="240" w:lineRule="auto"/>
        <w:ind w:left="284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Milenković, Miloš. 2007 Istorija postmoderne antropologije: Posle postmodernizma. Beograd, Sr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pski genealoški centar. (Šta je (bila) antropološka refleksivnost, 25-70)</w:t>
      </w:r>
    </w:p>
    <w:p w:rsidR="00F71BEA" w:rsidRPr="003A4551" w:rsidRDefault="003A4551" w:rsidP="003A4551">
      <w:pPr>
        <w:spacing w:line="240" w:lineRule="auto"/>
        <w:ind w:left="284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Milenković, Miloš. 2007 Istorija postmoderne antropologije: Intertemporalna heterarhija. Beograd, Srpski genealoški centar. (Trajni i opšti značaj kulturnog i lingvističkog relativiz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ma, 29-52; Kritička antropologija, 53-72)</w:t>
      </w:r>
    </w:p>
    <w:p w:rsidR="00F71BEA" w:rsidRPr="003A4551" w:rsidRDefault="003A4551" w:rsidP="003A4551">
      <w:pPr>
        <w:spacing w:line="240" w:lineRule="auto"/>
        <w:ind w:left="284" w:hanging="720"/>
        <w:contextualSpacing/>
        <w:rPr>
          <w:rFonts w:ascii="Georgia" w:eastAsia="Times New Roman" w:hAnsi="Georgia" w:cs="Times New Roman"/>
          <w:color w:val="222222"/>
          <w:sz w:val="24"/>
          <w:szCs w:val="24"/>
          <w:highlight w:val="white"/>
          <w:lang w:val="sr-Latn-RS"/>
        </w:rPr>
      </w:pPr>
      <w:r w:rsidRPr="003A4551">
        <w:rPr>
          <w:rFonts w:ascii="Georgia" w:eastAsia="Times New Roman" w:hAnsi="Georgia" w:cs="Times New Roman"/>
          <w:color w:val="222222"/>
          <w:sz w:val="24"/>
          <w:szCs w:val="24"/>
          <w:highlight w:val="white"/>
          <w:lang w:val="sr-Latn-RS"/>
        </w:rPr>
        <w:t>Potkonjak, Sanja. 2014. </w:t>
      </w:r>
      <w:r w:rsidRPr="003A4551">
        <w:rPr>
          <w:rFonts w:ascii="Georgia" w:eastAsia="Times New Roman" w:hAnsi="Georgia" w:cs="Times New Roman"/>
          <w:i/>
          <w:iCs/>
          <w:color w:val="222222"/>
          <w:sz w:val="24"/>
          <w:szCs w:val="24"/>
          <w:highlight w:val="white"/>
          <w:lang w:val="sr-Latn-RS"/>
        </w:rPr>
        <w:t>Teren za etnologe početnike</w:t>
      </w:r>
      <w:r w:rsidRPr="003A4551">
        <w:rPr>
          <w:rFonts w:ascii="Georgia" w:eastAsia="Times New Roman" w:hAnsi="Georgia" w:cs="Times New Roman"/>
          <w:color w:val="222222"/>
          <w:sz w:val="24"/>
          <w:szCs w:val="24"/>
          <w:highlight w:val="white"/>
          <w:lang w:val="sr-Latn-RS"/>
        </w:rPr>
        <w:t>. Zagreb: Hrvatsko etnološko društvo.</w:t>
      </w:r>
    </w:p>
    <w:p w:rsidR="0091442B" w:rsidRPr="003A4551" w:rsidRDefault="003A4551" w:rsidP="003A4551">
      <w:pPr>
        <w:spacing w:line="240" w:lineRule="auto"/>
        <w:ind w:left="284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Kulenović, Nina. 2017. Objašnjenje u antropologiji: Polemike. Beograd: Dosije studio i Odeljenje za etnologiju i antropologiju Filozofskog fakulteta Univerziteta u Beogradu (Ideali naučnosti i slike nauke, 25-80; Metodološki monizam nasuprot metodološkom p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luralizmu, 81-128;Zaključna razmatranja, 129-164)</w:t>
      </w:r>
    </w:p>
    <w:p w:rsidR="00F71BEA" w:rsidRPr="003A4551" w:rsidRDefault="003A4551" w:rsidP="003A4551">
      <w:pPr>
        <w:spacing w:line="240" w:lineRule="auto"/>
        <w:ind w:left="284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ur. Škrbić Alimpijević, Nevena, Sanja Potkonjak i Tihana Rubić.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Misliti etnografski. Kvalitativni pristupi i metode u etnologiji i kulturnoj antropologiji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. Zagreb: FF press.</w:t>
      </w:r>
    </w:p>
    <w:p w:rsidR="00F71BEA" w:rsidRPr="003A4551" w:rsidRDefault="00F71BEA" w:rsidP="003A4551">
      <w:pPr>
        <w:spacing w:line="240" w:lineRule="auto"/>
        <w:ind w:left="284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center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bookmarkStart w:id="0" w:name="_yjpm51gp1cem" w:colFirst="0" w:colLast="0"/>
      <w:bookmarkEnd w:id="0"/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lastRenderedPageBreak/>
        <w:t>LITERATURA ZA DRUGI DEO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</w:t>
      </w:r>
    </w:p>
    <w:p w:rsidR="00F71BEA" w:rsidRPr="003A4551" w:rsidRDefault="00F71BEA" w:rsidP="003A4551">
      <w:pPr>
        <w:spacing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1.</w:t>
      </w: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 Intervju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Вучинић Нешковић, Весна. 2013.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Методологија теренског истраживања у антропологији.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Београд: Српски генеалошки центар. (139–142, 157-158, 169-177; odnosno poglavlja: definicija i osnovni tipovi intervjua, sastavljanje pitanja za itervju, informac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ije koje se daju potencijalnim ispitanicima, neformalni intervju, sređivanje dokumentacije nakon intervjua, obrada dokumentacije)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Prica, Ines. 2000. „Povratnik s terena: konceptualni ideal i izvedbene mogućnosti dijaloga u etnografskom tekstu“.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Narodna um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jetnost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37 (2): 47–64.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Ćuković, Jelena. 2019. „Muzika kao sredstvo samoreprezentacije ispitanika na antropološkom terenu”.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Etnoantropološki problemi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14 (1): 119–133.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2. Posmatranje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Ilić, Vladimir. 2014. „Objektivnost, sistematičnost i pouzdanost u primeni metoda posmatranja u društvenim naukama”.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Sociologija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LVI (1): 61–80.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Ilić, Vladimir. 2013. „Različita shvatanja posmatranja u sociologiji i antropologiji”.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Sociologija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LV (4): 519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–540.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3 Analiza sadržaja vs analiza diskura (uporediti)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Bešić, Miloš. 2019.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Metodologija društvenih nauka.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Novi Sad: Akademska knjiga. (329–363)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4. Metod slučaja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Шљукић, Срђан и Марица Шљукић. 2020. „Метод случаја – концепт и пракса”.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Култура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166: 240–255.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Bešić, Miloš. 2019.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Metodologija društvenih nauka.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Novi Sad: Akademska knjiga. (364–379)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Петровић, Јасмина и Нина Павловић. 2020. „Карактеристике студије случаја и могућности примене у истраживањима маргиналних група”.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Култура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166: 222–239.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5. Ponovljena istraživanja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Kovač, Senka i Miloš Milenković. 2006. „Ponovljene studije u antropologiji.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Fan Bek vs. Griol”. Antropologija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6 (2): 89–109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lastRenderedPageBreak/>
        <w:t xml:space="preserve">Миленковић, Милош. 2003.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Проблем етнографски стварног: полемика о Самои у кризи етнографског реализма.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Београд: Српски генеалошки центар. (89–103; 126–150)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ind w:hanging="15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6. Autoetnografija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shd w:val="clear" w:color="auto" w:fill="A4C2F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Gulin Zrnić, Valentina. 2006. „Domaće, vlastito i osobno: autokulturna defamilijatizacija”. U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ETNOLOG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IJA BLISKOGA. Poetika i politika suvremenih terenskih istraživanja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, uredili Jasna Čapo Žmegač, Valentina Gulin Zrnić i Goran Pavel Šantek, 73–96. Zagreb: Insitutut za etnologiju i folkloristiku.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„Autoetnografija”. U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Misliti etnografski. Kvalitativni prist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upi i metode u etnologiji i kulturnoj antropologiji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, uredili Nevena Škrbić Alimpijević, Sanja Potkonjak i Tihana Rubić, 87–102. Zagreb: FF press.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Pleše, Iva. 2006. „JESAM LI BILA NA TERENU? O etnografiji elektroničkog dopisivanja”. U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ETNOLOGIJA BLISKOGA.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Poetika i politika suvremenih terenskih istraživanja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, uredili Jasna Čapo Žmegač, Valentina Gulin Zrnić i Goran Pavel Šantek, 117–138. Zagreb: Insitutut za etnologiju i folkloristiku.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7. Istraživanje „digitalnih” svetova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Гавриловић, Љиљана. 2016.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Стварни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је од стварног: антропологија Азерота.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Београд: Етнографски институт САНУ. (27–44)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Гавриловић, Љиљана. 2004. „Етнографија виртуелне реалности”.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Гласник Етнографског института САНУ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LII: 9–16.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Радивојевић, Соња. 2020. „(Де)колонизација дигиталног окружења: интернет и нови(ји) медији као места савремених антрополошких истраживања и како им етнографски прићи”.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Гласник Етнографског института САНУ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LXVIII (2): 419–438.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8. Vizuelna građa (sa akcento</w:t>
      </w: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m na fotografiju)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Slobodan Naumović. 1988. „Pitanje vizuelne građe u etnologiji“.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Etnološke sveske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9: 113–123.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Slobodan Naumović, Marija Brujić i Katarina Mitrović. 2021. „Uvod u antropologiju fotografije u Srbiji“.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Glasnik EI SANU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69(1): 151–171.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Marija Brujić. 2017. „Kratak uvod u istoriju antropologije fotografije“.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Etnoantropološki problemi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12(1): 129-147.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9. Terenske beleške i etnografski dnevnik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lastRenderedPageBreak/>
        <w:t>Radivojević, Sonja. 2025. „(Po)etika etnografskog pisanja: etnografski prototekstovi između priv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atnosti i transparentnosti u antropološkoj teoriji i praksi”.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Antropologija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25 (2): 81–98.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Ilić, Vladimir. 2014. „Beleženje i snimanje prilikom posmatranja društvenih pojava”.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Antropologija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14 (2): 72–87.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Pavković, Nikola F. „O dnevniku Bronislava Malino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vskog”.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Antropologija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24 (3): 207–215.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10. Životna priča/istorija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Gorunović, Gordana. 2018. „Autobiografija i etnografija u Radinovoj antropologiji: Crashing Thunder kao saradnička prozna fikcija i autobiografski narativ o verskom preobraćenju“.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Antrop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ologija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18 (2): 29–66.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Marković, Jelena. 2010. „Pričanja o djetinjstvu i srodni koncepti: ‘velike’ i/ili ‘male’ priče“.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Narodna umjetnost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47 (2): 51–76.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11. Arhivska građa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Birta, Ivan i Saša Nedeljković. 2019. „Papski nalozi za istragu u vezi sa bračno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 dispenzacijom kao istorijskoantropološki izvori“.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Etnoantropološki problemi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14(2): 647–670.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Nedeljković, Saša. 2014. „Neiskorišćeni novac bliskog rođaka kao povod za proučavanje crnog valutno-deviznog tržišta u Srbiji tokom Drugog svetskog rata”.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Antrop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ologija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14 (2): 9–52.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12. Rasprava o etici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Zebec, Tvrtko et al. 2009. „Etika u etnologiji / kulturnoj antropologiji“.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Etnološka tribina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39 (32): 15–53.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13. Odnos etike i metodologije 1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Vukušić, Ana-Marija i Melanija Belaj. 2024. „‘Mi smo vama nešto ko zamorčići, jel?’ O etičkim i metodološkim dilemama istraživanja beskućništva“.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Studia ethnologica Croatica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36 (1): 311–339.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Žikić, Bojan. 2007. „Antropološko proučavanje marginalnih društv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enih grupa – metodologija terenskog rada“.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Glasnik Etnografskog muzeja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71: 39–52.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Marković, Jelena. 2008. „Je li etično etički istraživati sa djecom? Neka etička pitanja u istraživanju folklorističkih i kulturnoantropoloških aspekata djetinjstva”.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ka tribina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38 (31): 147–165.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lastRenderedPageBreak/>
        <w:t>14. Odnos etike i metodologije 2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Milenković, Miloš, Isidora Jarić i Valentina Sokolovska. 2014. „O nekim teorijskim i metodološkim problemima istraživanja romske populacije u sociologiji i etnologiji/sociokulturnoj antropolo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giji“.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Etnoantropološki problemi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9 (4): 879–900.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Radić-Bojanić, Biljana i Valentina Sokolovska. 2024. „</w:t>
      </w:r>
      <w:r w:rsidRPr="003A4551">
        <w:rPr>
          <w:rFonts w:ascii="Georgia" w:eastAsia="Times New Roman" w:hAnsi="Georgia" w:cs="Times New Roman"/>
          <w:sz w:val="24"/>
          <w:szCs w:val="24"/>
          <w:highlight w:val="white"/>
          <w:lang w:val="sr-Latn-RS"/>
        </w:rPr>
        <w:t>Izazovi u istraživanju ugroženih i ranjivih jezika u Srbiji u okviru projekta ‘Ranjivi jezici i jezički varijeteti u Srbiji’: Metodološka i etička pitan</w:t>
      </w:r>
      <w:r w:rsidRPr="003A4551">
        <w:rPr>
          <w:rFonts w:ascii="Georgia" w:eastAsia="Times New Roman" w:hAnsi="Georgia" w:cs="Times New Roman"/>
          <w:sz w:val="24"/>
          <w:szCs w:val="24"/>
          <w:highlight w:val="white"/>
          <w:lang w:val="sr-Latn-RS"/>
        </w:rPr>
        <w:t>ja”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Etnoantropološki problemi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19 (1): 279–308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15. Teren antropologije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– </w:t>
      </w: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nekad i sad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Ивановић, Зорица. 2005. „Терен антропологије и теренско истраживање пре и после критике репрезентације”. У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Етнологија и антропологија: стања и перспективе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, уредиле Драг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ана Радојичић и Љиљана Гавриловић, 123–141. Београд: Етнографски институт САНУ.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Ože, Mark. 2005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Nemesta: uvod u antropologiju nadmodernosti.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Beograd: Biblioteka XX vek (33–37, 43–63).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16. Budućnost kao antropološki koncept i/ili predmet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Gulin Zrnić, Valentina i Saša Poljak Istenič. 2022. „Etnologija i kulturna antropologija budućnosti: koncepti za istraživanje nečega što (još) ne postoji“.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Narodna umjetnost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59 (1): 137–162.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Potkonjak, Sanja. 2023. „(Ra)stvaranje budućnosti: antropološki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programi u kriznim vremenima. U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Horizonti budućnosti: antropološki i drugi naučni pristupi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, uredili Bojana Bogdanović i Kristijan Obšust, 51-70. Novi Sad, Beograd: Arhiv Vojvodine, Etnografski institut.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Bogdanović, Bojana. 2023. „Kratak osvrt na koncept b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udućnosti u antropologiji”. U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Horizonti budućnosti: antropološki i drugi naučni pristupi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, uredili Bojana Bogdanović i Kristijan Obšust, 19-30. Novi Sad, Beograd: Arhiv Vojvodine, Etnografski institut.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17. Pozicioniranost istraživača/ce na „domaćem terenu</w:t>
      </w: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”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Šabanović, Alen. 2025. „Specifičnosti istraživačke pozicije ‘domaćeg’ terena...“. Etnološka tribina 55 (48): 158–173.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Gulin Zrnić, Valentina. 2025. „Ususret suživotu: metodološko-epistemološka promišljanja etnografskog istraživanja s filipinskim migrantima u Hrvatskoj“. Studia ethnologica Croatica 37(1): 291–310.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Simić, Marina. 2010. “Fieldwork Dillemas: Problems of Loca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tion, Insiderhood and Implicit Discourses”.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Glasnik Etnografskog muzeja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LVIII (2): 29–42.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lastRenderedPageBreak/>
        <w:t>18. Angažovana antropologija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Kozorog, Miha. 2012. „Angažiranje etnografije i turizma. Iskustvo jednog domaćeg organizatora festivala“.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Etnološka tribina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42 (35): 2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59–277.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Simonović, Dubravka i Miloš Milenković. 2008. „Ponovno promišljanje šeme ‘sredstava-kao-ciljeva’: metodološki potencijali društveno angažovanog istraživanja“.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Etnoantropološki problemi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3(1): 205–228.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bookmarkStart w:id="1" w:name="_hzswv0502rkp" w:colFirst="0" w:colLast="0"/>
      <w:bookmarkEnd w:id="1"/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19. Femistička epistemologija i metodologija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bookmarkStart w:id="2" w:name="_ycq4u44ozryu" w:colFirst="0" w:colLast="0"/>
      <w:bookmarkEnd w:id="2"/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Milojević, Ivana. 2011. „Tri talasa feminizma, istorijski i društveni kontekst” i “Feministička epistemologija i metodologija”. U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Uvod u rodne teorije,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ur. Ivana Milojević i Slobodanka Markov, 27–50. Novi Sad: Mediterran Publishing.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Škokić, Tea. 2001. „F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eministička antropološka kritika: od univerzalizma do razlike”.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Etnološka tribina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24 (31): 5–20.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Alempijević, Nevena Škrbić, Sanja Potkonjak i Tihana Rubić. 2016. „Feministička etnografija”. U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Misliti etnografski. Kvalitativni pristupi i metode u etnolog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iji i kulturnoj antropologiji,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103–118.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20. „Otvoreno” znanje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Orlić, Olga. 2025. „Otvoreno o otvorenim podacima iz perspektive etnologije i kulturne antropologije“.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Etnološka tribina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55 (48): 6–28.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Lavanchy, Anne i Wiebke Wiesigel. 2025. „Što su, zap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ravo, antropološki podaci?“.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Etnološka tribina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55 (48): 29–33.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Kuzman Šlogar, Koraljka. 2025. „Otvorena znanost između tehničke izvedivosti i epistemološke zrelosti“.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Etnološka tribina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55 (48): 33–40.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Gavrilović, Ljiljana. 2013. „Znanje u čežnji za slobo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dom”.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Etnoantropološki problemi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8 (2): 427–440.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21. Fenomenologija i koncept „otelovljenja”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Kulenović, Nina. „Eksplanatorna moć koncepta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otelovljenja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u antropologiji”.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Etnoantropološki problemi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16 (2): 325–351.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Bagarić, Petar. 2013. „Fenomenološki senz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ualizam i etnografski teren: posljedice primjene fenomenoloških koncepata na antropološko znanje“.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Narodna umjetnost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50 (2): 33–46.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lastRenderedPageBreak/>
        <w:t>22. Individualizam u antropologiji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Ignjatović, Suzana i Aleksandar Bošković. 2018. „O mogućnostima naučnog objašnjenja zasnovanog na metodološkom individualizmu u antropologiji”.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Etnoantropološki problemi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13 (1): 17–40.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Nina Kulenović. 2014. „Metodološki individualizam nasuprot metodološko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 holizmu...“.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Etnoantropološki problemi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9 (2): 309–333.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23. Relativizam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Radović, Srđan. 2006. „Relativizam i antropologija”.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Glasnik Etnografskog instituta SANU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54: 389–402.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Gerc, Kliford. 2007. „Anti-antirelativizam”. 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Kultura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118–119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: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58–86.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24. An</w:t>
      </w: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tiantipozitivizam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Nina Kulenović. 2025. „Antiantipozitivizam: o epistemološkoj hipohondriji, konstitutivnoj drugosti i ostalim demonima“.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Etnoantropološki problemi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20(4): 1101-1138.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25. Ernest Gelner i kritika postmodernizma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Gellner, Ernest. 2000.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Post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modernizam, razum i religija.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Zagreb: Jasenski i Turk. (33–88)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26. Savremena etnografija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Relja, Renata. 2011. „Metodološke posebnosti suvremenog etnografskog istraživanja”.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Titius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4 (4): 179–193.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Relja, Renata. 2009. „Suvremena etnografija kao integrat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ivni metodološki pristup: teorijsko-metodološki doprinosi socio-kulturnim istraživanjima”.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Titius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2 (2): 119–134.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Relja, Renata. 2010. „Sociološka i filozofska temeljenja etnografskog istraživanja”.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Zbornik radova Filozofskog fakulteta u Splitu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2/3: 113–133.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27. Antropologija kao kritika kulture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trike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Marcus E. George i Michael M. J. Fischer. 2003.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Antropologija kao kritika kulture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. Zagreb: Breza (Predgovor i Uvod, 7–20; Kriza prikazivanja u humanističkim znanostima, 21–31; Etnografija i interpretativna antropologija, 33–60).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highlight w:val="white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highlight w:val="white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highlight w:val="white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highlight w:val="white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highlight w:val="white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highlight w:val="white"/>
          <w:lang w:val="sr-Latn-RS"/>
        </w:rPr>
        <w:lastRenderedPageBreak/>
        <w:t>28. Odnos antropologije i etnografije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trike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Fabijet, Ugo, Roberto Maligeti i Vinčenco Matera. 2002.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Uvod u antr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opologiju. Od lokalnog do globalnog.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Beograd: Clio. (113–125, 138–148) 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Ingold, Tim. 2009. „Antropologija nije etnografija”.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Treći program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141–142 (I-II): 421–441</w:t>
      </w:r>
    </w:p>
    <w:p w:rsidR="00F71BEA" w:rsidRPr="003A4551" w:rsidRDefault="00F71BEA" w:rsidP="003A4551">
      <w:pPr>
        <w:spacing w:line="240" w:lineRule="auto"/>
        <w:ind w:hanging="15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29. Uticaj spoljnih faktora na antropologiju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Синђелић, Светозар. 2005.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Релативност научне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 рационалности.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Београд: Институт за филозофију Филозофског факултета у Београду. (Парадигме и утицај друштвених фактора на науку, 217–238)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Ivanović, Zorica. 2008. „Pogled na savremene transformacije antropološke teorije i prakse”.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Antropologija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6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 xml:space="preserve">:  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88–11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>6.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30. Refleksivnost istraživača vs refleksivnost discipline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Prelić, Mladena. 2009. „Istraživanje etničkih manjina: lična iskustva i dileme“.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Antropologija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9: 41–54.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Nedeljković, Saša. 2013. „Uticaj obrazaca profesionalnog ponašanja etnologa i antropologa u Srbiji danas na kvalitet istraživanja“. </w:t>
      </w:r>
      <w:r w:rsidRPr="003A4551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Etnološko-antropološke sveske</w:t>
      </w:r>
      <w:r w:rsidRPr="003A455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21: 35–55.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:rsidR="00F71BEA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31. </w:t>
      </w:r>
      <w:r w:rsidR="003A4551" w:rsidRPr="003A4551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Metodološke posledice transormacije socijalne teorije</w:t>
      </w:r>
    </w:p>
    <w:p w:rsidR="003A4551" w:rsidRPr="003A4551" w:rsidRDefault="003A4551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91442B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  <w:r w:rsidRPr="003A4551">
        <w:rPr>
          <w:rFonts w:ascii="Georgia" w:hAnsi="Georgia"/>
          <w:sz w:val="24"/>
          <w:szCs w:val="24"/>
        </w:rPr>
        <w:t xml:space="preserve">Gerc, Kliford. 2007. „Upotrebe različitosti“. </w:t>
      </w:r>
      <w:r w:rsidRPr="003A4551">
        <w:rPr>
          <w:rStyle w:val="Emphasis"/>
          <w:rFonts w:ascii="Georgia" w:hAnsi="Georgia"/>
          <w:sz w:val="24"/>
          <w:szCs w:val="24"/>
        </w:rPr>
        <w:t>Kultura</w:t>
      </w:r>
      <w:r w:rsidRPr="003A4551">
        <w:rPr>
          <w:rFonts w:ascii="Georgia" w:hAnsi="Georgia"/>
          <w:sz w:val="24"/>
          <w:szCs w:val="24"/>
        </w:rPr>
        <w:t xml:space="preserve"> 118–</w:t>
      </w:r>
      <w:bookmarkStart w:id="3" w:name="_GoBack"/>
      <w:bookmarkEnd w:id="3"/>
      <w:r w:rsidRPr="003A4551">
        <w:rPr>
          <w:rFonts w:ascii="Georgia" w:hAnsi="Georgia"/>
          <w:sz w:val="24"/>
          <w:szCs w:val="24"/>
        </w:rPr>
        <w:t>119: 87–107.</w:t>
      </w:r>
    </w:p>
    <w:p w:rsidR="00F71BEA" w:rsidRPr="003A4551" w:rsidRDefault="00F71BEA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p w:rsidR="00F71BEA" w:rsidRPr="003A4551" w:rsidRDefault="0091442B" w:rsidP="003A4551">
      <w:pPr>
        <w:spacing w:line="240" w:lineRule="auto"/>
        <w:contextualSpacing/>
        <w:jc w:val="both"/>
        <w:rPr>
          <w:rFonts w:ascii="Georgia" w:hAnsi="Georgia"/>
          <w:sz w:val="24"/>
          <w:szCs w:val="24"/>
        </w:rPr>
      </w:pPr>
      <w:r w:rsidRPr="003A4551">
        <w:rPr>
          <w:rFonts w:ascii="Georgia" w:hAnsi="Georgia"/>
          <w:sz w:val="24"/>
          <w:szCs w:val="24"/>
        </w:rPr>
        <w:t xml:space="preserve">Geertz, Clifford. 2010. „Zamućeni žanrovi: preoblikovanje društvene misli“. U </w:t>
      </w:r>
      <w:r w:rsidRPr="003A4551">
        <w:rPr>
          <w:rStyle w:val="Emphasis"/>
          <w:rFonts w:ascii="Georgia" w:hAnsi="Georgia"/>
          <w:sz w:val="24"/>
          <w:szCs w:val="24"/>
        </w:rPr>
        <w:t>Lokalno znanje: eseji iz interpretativne antropologije</w:t>
      </w:r>
      <w:r w:rsidRPr="003A4551">
        <w:rPr>
          <w:rFonts w:ascii="Georgia" w:hAnsi="Georgia"/>
          <w:sz w:val="24"/>
          <w:szCs w:val="24"/>
        </w:rPr>
        <w:t xml:space="preserve">, 33–52. </w:t>
      </w:r>
      <w:proofErr w:type="gramStart"/>
      <w:r w:rsidRPr="003A4551">
        <w:rPr>
          <w:rFonts w:ascii="Georgia" w:hAnsi="Georgia"/>
          <w:sz w:val="24"/>
          <w:szCs w:val="24"/>
        </w:rPr>
        <w:t>Prevela Irena Matijašević.</w:t>
      </w:r>
      <w:proofErr w:type="gramEnd"/>
      <w:r w:rsidRPr="003A4551">
        <w:rPr>
          <w:rFonts w:ascii="Georgia" w:hAnsi="Georgia"/>
          <w:sz w:val="24"/>
          <w:szCs w:val="24"/>
        </w:rPr>
        <w:t xml:space="preserve"> Zagreb: AGM.</w:t>
      </w:r>
    </w:p>
    <w:p w:rsidR="0091442B" w:rsidRPr="003A4551" w:rsidRDefault="0091442B" w:rsidP="003A4551">
      <w:pPr>
        <w:spacing w:line="240" w:lineRule="auto"/>
        <w:contextualSpacing/>
        <w:jc w:val="both"/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</w:pPr>
    </w:p>
    <w:sectPr w:rsidR="0091442B" w:rsidRPr="003A455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374191A7-BB86-4317-B57B-C7125961D722}"/>
    <w:embedBold r:id="rId2" w:fontKey="{3DF3251D-0C40-4DC8-B465-5C5FF5C272F6}"/>
    <w:embedItalic r:id="rId3" w:fontKey="{159BE11E-2762-40EC-B3C7-D8680A663D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FA5BB99-CD40-4F61-90C8-5836DC13F5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4E4E5BF-B87B-4B00-9885-8859ACE5163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15E7D"/>
    <w:multiLevelType w:val="multilevel"/>
    <w:tmpl w:val="31C6E4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71BEA"/>
    <w:rsid w:val="003A4551"/>
    <w:rsid w:val="005E69AF"/>
    <w:rsid w:val="0091442B"/>
    <w:rsid w:val="00F7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9144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9144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amara.zaric@f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mil@f.bg.ac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2559</Words>
  <Characters>14589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</cp:lastModifiedBy>
  <cp:revision>3</cp:revision>
  <dcterms:created xsi:type="dcterms:W3CDTF">2026-10-06T17:13:00Z</dcterms:created>
  <dcterms:modified xsi:type="dcterms:W3CDTF">2026-10-06T17:24:00Z</dcterms:modified>
</cp:coreProperties>
</file>