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8F8893">
      <w:pPr>
        <w:ind w:firstLine="720"/>
        <w:jc w:val="both"/>
        <w:rPr>
          <w:rFonts w:ascii="Times New Roman" w:hAnsi="Times New Roman" w:cs="Times New Roman"/>
          <w:sz w:val="28"/>
          <w:szCs w:val="28"/>
          <w:lang w:val="sr-Latn-RS"/>
        </w:rPr>
      </w:pPr>
      <w:bookmarkStart w:id="0" w:name="_GoBack"/>
      <w:bookmarkEnd w:id="0"/>
      <w:r>
        <w:rPr>
          <w:rFonts w:ascii="Times New Roman" w:hAnsi="Times New Roman" w:cs="Times New Roman"/>
          <w:sz w:val="28"/>
          <w:szCs w:val="28"/>
          <w:lang w:val="sr-Latn-RS"/>
        </w:rPr>
        <w:t xml:space="preserve">Elisabeth Backe-Hansen, </w:t>
      </w:r>
      <w:r>
        <w:rPr>
          <w:rFonts w:ascii="Times New Roman" w:hAnsi="Times New Roman" w:cs="Times New Roman"/>
          <w:i/>
          <w:iCs/>
          <w:sz w:val="28"/>
          <w:szCs w:val="28"/>
          <w:lang w:val="sr-Latn-RS"/>
        </w:rPr>
        <w:t>“Young people between home and school”</w:t>
      </w:r>
      <w:r>
        <w:rPr>
          <w:rFonts w:ascii="Times New Roman" w:hAnsi="Times New Roman" w:cs="Times New Roman"/>
          <w:sz w:val="28"/>
          <w:szCs w:val="28"/>
          <w:lang w:val="sr-Latn-RS"/>
        </w:rPr>
        <w:t>, preuzeto iz R.Edwards, ed. Children, Home and School. Regulation, Autonomy and Connection?, London &amp; New York: Routledge &amp; Falmer, 2001: 172 - 187.</w:t>
      </w:r>
    </w:p>
    <w:p w14:paraId="64B75983">
      <w:pPr>
        <w:ind w:firstLine="720"/>
        <w:jc w:val="both"/>
        <w:rPr>
          <w:rFonts w:ascii="Times New Roman" w:hAnsi="Times New Roman" w:cs="Times New Roman"/>
          <w:sz w:val="24"/>
          <w:szCs w:val="24"/>
          <w:lang w:val="sr-Latn-RS"/>
        </w:rPr>
      </w:pPr>
      <w:r>
        <w:rPr>
          <w:rFonts w:ascii="Times New Roman" w:hAnsi="Times New Roman" w:cs="Times New Roman"/>
          <w:sz w:val="24"/>
          <w:szCs w:val="24"/>
          <w:lang w:val="sr-Latn-RS"/>
        </w:rPr>
        <w:t xml:space="preserve">Jedan od pristupa adolescenciji  jeste shvatanje mladih ljudi kao aktera u društvenom okruženju. To se okruženje može podeliti na različite sfere delovanja ili kontekste, koji za pojedinca predstavljaju i mogućnosti i ograničenja. Sfera porodice i sfera škole su na različite načine značajne za razvitak mladih ljudi, u periodu njihovog života koji je ključan za upoznavanje sa kulturnim očekivanjima u širem smislu. Mladi ljudi organizuju veći deo svog vremena između sfere kuće i sfere škole, i važno je analizirati kako oni shvataju i kako se odnose prema njihovoj međusobnoj vezi. </w:t>
      </w:r>
    </w:p>
    <w:p w14:paraId="103AA5F1">
      <w:pPr>
        <w:ind w:firstLine="720"/>
        <w:jc w:val="both"/>
        <w:rPr>
          <w:rFonts w:ascii="Times New Roman" w:hAnsi="Times New Roman" w:cs="Times New Roman"/>
          <w:sz w:val="24"/>
          <w:szCs w:val="24"/>
          <w:lang w:val="sr-Latn-RS"/>
        </w:rPr>
      </w:pPr>
      <w:r>
        <w:rPr>
          <w:rFonts w:ascii="Times New Roman" w:hAnsi="Times New Roman" w:cs="Times New Roman"/>
          <w:sz w:val="24"/>
          <w:szCs w:val="24"/>
          <w:lang w:val="sr-Latn-RS"/>
        </w:rPr>
        <w:t>U ovom poglavlju koriste se dimenzije autonomije, povezanosti i regulisanja. Autonomija je proces postajanja nezavisnom individuom, povezanost se tiče odnosa između dece i roditelja, dok regulisanje predstavlja ograničenja koja nameću roditelji i škola. Polazna tačka analize je da postoji kompleksan međusobni odnos između ove tri dimenzije kada se porodica i škola posmatraju zajedno.</w:t>
      </w:r>
    </w:p>
    <w:p w14:paraId="6286775D">
      <w:pPr>
        <w:ind w:firstLine="720"/>
        <w:jc w:val="both"/>
        <w:rPr>
          <w:rFonts w:ascii="Times New Roman" w:hAnsi="Times New Roman" w:cs="Times New Roman"/>
          <w:sz w:val="24"/>
          <w:szCs w:val="24"/>
          <w:lang w:val="sr-Latn-RS"/>
        </w:rPr>
      </w:pPr>
      <w:r>
        <w:rPr>
          <w:rFonts w:ascii="Times New Roman" w:hAnsi="Times New Roman" w:cs="Times New Roman"/>
          <w:sz w:val="24"/>
          <w:szCs w:val="24"/>
          <w:lang w:val="sr-Latn-RS"/>
        </w:rPr>
        <w:t>Na primer, prelazak u srednju školu predstavlja važnu tranziciju. Mladi se suočavaju sa novim okruženjem, novim vršnjacima, nastavnicima, obavezama, što otežava roditeljima nadzor nad njihovim životom. Roditelji se mogu osećati manje sposobnima da kontrolišu svoju decu u tom periodu. U srednjoj školi odnos između nastavnika i učenika postaje formalniji, a saradnja između porodice i škole manje lična. U Norveškoj, gde je sprovedeno istraživanje, srednja škola posebno je važna jer se uvodi ocenjivanje. U osnovnoj školi se koriste kvazi-ocene kao što su slikovni simboli ili opisni komentari, da bi deca i njihovi roditelji stekli neki utisak o nivou dečijeg postignuća, ali to nije formalizovano ni standardizovano kao ocenjivanje koje se vrši kasnije.</w:t>
      </w:r>
    </w:p>
    <w:p w14:paraId="1E572DC0">
      <w:pPr>
        <w:ind w:firstLine="720"/>
        <w:jc w:val="both"/>
        <w:rPr>
          <w:rFonts w:ascii="Times New Roman" w:hAnsi="Times New Roman" w:cs="Times New Roman"/>
          <w:sz w:val="24"/>
          <w:szCs w:val="24"/>
          <w:lang w:val="sr-Latn-RS"/>
        </w:rPr>
      </w:pPr>
      <w:r>
        <w:rPr>
          <w:rFonts w:ascii="Times New Roman" w:hAnsi="Times New Roman" w:cs="Times New Roman"/>
          <w:sz w:val="24"/>
          <w:szCs w:val="24"/>
          <w:lang w:val="sr-Latn-RS"/>
        </w:rPr>
        <w:t xml:space="preserve">Ove tri dimenzije korišćene su analitički pri razmatranju nekih rezultata prevashodno kvantitativnog proučavanja društvene kompetentnosti među mladima. Podaci su dobijeni od samih mladih, njihovih roditelja i nastavnika u dva navrata, kada su ovi prvi imali trinaest do četrnaest, odnosno petnaest do šesnaest godina. Prvobitni uzorak sastojao se od 806 mladih iz deset strateški odabranih norveških opština, uključujući male, ruralne zajednice. </w:t>
      </w:r>
    </w:p>
    <w:p w14:paraId="5B9E1F99">
      <w:pPr>
        <w:ind w:firstLine="720"/>
        <w:jc w:val="both"/>
        <w:rPr>
          <w:rFonts w:ascii="Times New Roman" w:hAnsi="Times New Roman" w:cs="Times New Roman"/>
          <w:i/>
          <w:iCs/>
          <w:sz w:val="24"/>
          <w:szCs w:val="24"/>
          <w:lang w:val="sr-Latn-RS"/>
        </w:rPr>
      </w:pPr>
      <w:r>
        <w:rPr>
          <w:rFonts w:ascii="Times New Roman" w:hAnsi="Times New Roman" w:cs="Times New Roman"/>
          <w:i/>
          <w:iCs/>
          <w:sz w:val="24"/>
          <w:szCs w:val="24"/>
          <w:lang w:val="sr-Latn-RS"/>
        </w:rPr>
        <w:t>Mladi, roditelji i nastavnici deluju iz različitih pozicija. Mladi imaju najmanje uticaja, ali najviše prostora za promene u odnosima sa roditeljima. Roditelji imaju autoritet u porodici, ali se od njih očekuje saradnja sa školom. Nastavnici imaju najuticajniju poziciju zbog institucionalnog autoriteta.</w:t>
      </w:r>
    </w:p>
    <w:p w14:paraId="5C2F113D">
      <w:pPr>
        <w:ind w:firstLine="720"/>
        <w:jc w:val="both"/>
        <w:rPr>
          <w:rFonts w:ascii="Times New Roman" w:hAnsi="Times New Roman" w:cs="Times New Roman"/>
          <w:sz w:val="24"/>
          <w:szCs w:val="24"/>
          <w:lang w:val="sr-Latn-RS"/>
        </w:rPr>
      </w:pPr>
      <w:r>
        <w:rPr>
          <w:rFonts w:ascii="Times New Roman" w:hAnsi="Times New Roman" w:cs="Times New Roman"/>
          <w:sz w:val="24"/>
          <w:szCs w:val="24"/>
          <w:lang w:val="sr-Latn-RS"/>
        </w:rPr>
        <w:t>Odnos između povezanosti i autonomije nije suprotnost, već proces pregovaranja. Roditelji moraju da prilagođavaju načine regulisanja, dok mladi teže većoj nezavisnosti.</w:t>
      </w:r>
    </w:p>
    <w:p w14:paraId="07111BBA">
      <w:pPr>
        <w:ind w:firstLine="720"/>
        <w:jc w:val="both"/>
        <w:rPr>
          <w:rFonts w:ascii="Times New Roman" w:hAnsi="Times New Roman" w:cs="Times New Roman"/>
          <w:sz w:val="24"/>
          <w:szCs w:val="24"/>
          <w:lang w:val="sr-Latn-RS"/>
        </w:rPr>
      </w:pPr>
      <w:r>
        <w:rPr>
          <w:rFonts w:ascii="Times New Roman" w:hAnsi="Times New Roman" w:cs="Times New Roman"/>
          <w:sz w:val="24"/>
          <w:szCs w:val="24"/>
          <w:lang w:val="sr-Latn-RS"/>
        </w:rPr>
        <w:t xml:space="preserve">Savremena adolescencija karakteriše se produženom zavisnošću od roditelja, te ova kontradikcija stvara dodatnu potrebu za pregovaranjem o autonomiji i kontroli. Istovremeno, postoji tenzija između potrebe za kontrolom i potrebe da se podstakne nezavisnost mladih. Ova ravnoteža se različito uspostavlja u porodici i školi. </w:t>
      </w:r>
    </w:p>
    <w:p w14:paraId="5885D576">
      <w:pPr>
        <w:jc w:val="both"/>
        <w:rPr>
          <w:rFonts w:ascii="Times New Roman" w:hAnsi="Times New Roman" w:cs="Times New Roman"/>
          <w:sz w:val="24"/>
          <w:szCs w:val="24"/>
          <w:lang w:val="sr-Latn-RS"/>
        </w:rPr>
      </w:pPr>
      <w:r>
        <w:rPr>
          <w:rFonts w:ascii="Times New Roman" w:hAnsi="Times New Roman" w:cs="Times New Roman"/>
          <w:sz w:val="24"/>
          <w:szCs w:val="24"/>
          <w:lang w:val="sr-Latn-RS"/>
        </w:rPr>
        <w:t>Mladi su kao ključne elemente dobrog roditeljstva isticali povezanost i autonomiju uz regulisanje.</w:t>
      </w:r>
    </w:p>
    <w:p w14:paraId="215AE7D6">
      <w:pPr>
        <w:jc w:val="both"/>
        <w:rPr>
          <w:rFonts w:ascii="Times New Roman" w:hAnsi="Times New Roman" w:cs="Times New Roman"/>
          <w:i/>
          <w:iCs/>
          <w:sz w:val="24"/>
          <w:szCs w:val="24"/>
          <w:lang w:val="sr-Latn-RS"/>
        </w:rPr>
      </w:pPr>
      <w:r>
        <w:rPr>
          <w:rFonts w:ascii="Times New Roman" w:hAnsi="Times New Roman" w:cs="Times New Roman"/>
          <w:sz w:val="24"/>
          <w:szCs w:val="24"/>
          <w:lang w:val="sr-Latn-RS"/>
        </w:rPr>
        <w:t xml:space="preserve">Povezanost se izražava kroz ljubav, brigu, razgovor i podršku: </w:t>
      </w:r>
      <w:r>
        <w:rPr>
          <w:rFonts w:ascii="Times New Roman" w:hAnsi="Times New Roman" w:cs="Times New Roman"/>
          <w:i/>
          <w:iCs/>
          <w:sz w:val="24"/>
          <w:szCs w:val="24"/>
          <w:lang w:val="sr-Latn-RS"/>
        </w:rPr>
        <w:t>„Dobri roditelji često razgovaraju sa svojom decom... pružaju im podršku kada ona imaju poteškoća.“</w:t>
      </w:r>
    </w:p>
    <w:p w14:paraId="377CB9A9">
      <w:pPr>
        <w:jc w:val="both"/>
        <w:rPr>
          <w:rFonts w:ascii="Times New Roman" w:hAnsi="Times New Roman" w:cs="Times New Roman"/>
          <w:i/>
          <w:iCs/>
          <w:sz w:val="24"/>
          <w:szCs w:val="24"/>
          <w:lang w:val="sr-Latn-RS"/>
        </w:rPr>
      </w:pPr>
      <w:r>
        <w:rPr>
          <w:rFonts w:ascii="Times New Roman" w:hAnsi="Times New Roman" w:cs="Times New Roman"/>
          <w:sz w:val="24"/>
          <w:szCs w:val="24"/>
          <w:lang w:val="sr-Latn-RS"/>
        </w:rPr>
        <w:t xml:space="preserve">Istovremeno, mladi smatraju da je regulisanje neophodno: </w:t>
      </w:r>
      <w:r>
        <w:rPr>
          <w:rFonts w:ascii="Times New Roman" w:hAnsi="Times New Roman" w:cs="Times New Roman"/>
          <w:i/>
          <w:iCs/>
          <w:sz w:val="24"/>
          <w:szCs w:val="24"/>
          <w:lang w:val="sr-Latn-RS"/>
        </w:rPr>
        <w:t>„Dobro roditeljstvo predstavlja nametanje pravila... da se dete ne razmazi.“</w:t>
      </w:r>
    </w:p>
    <w:p w14:paraId="46EB55B8">
      <w:pPr>
        <w:jc w:val="both"/>
        <w:rPr>
          <w:rFonts w:ascii="Times New Roman" w:hAnsi="Times New Roman" w:cs="Times New Roman"/>
          <w:i/>
          <w:iCs/>
          <w:sz w:val="24"/>
          <w:szCs w:val="24"/>
          <w:lang w:val="sr-Latn-RS"/>
        </w:rPr>
      </w:pPr>
      <w:r>
        <w:rPr>
          <w:rFonts w:ascii="Times New Roman" w:hAnsi="Times New Roman" w:cs="Times New Roman"/>
          <w:sz w:val="24"/>
          <w:szCs w:val="24"/>
          <w:lang w:val="sr-Latn-RS"/>
        </w:rPr>
        <w:t xml:space="preserve">Najčešće su naglašavali potrebu za ravnotežom: </w:t>
      </w:r>
      <w:r>
        <w:rPr>
          <w:rFonts w:ascii="Times New Roman" w:hAnsi="Times New Roman" w:cs="Times New Roman"/>
          <w:i/>
          <w:iCs/>
          <w:sz w:val="24"/>
          <w:szCs w:val="24"/>
          <w:lang w:val="sr-Latn-RS"/>
        </w:rPr>
        <w:t>„Kombinacija discipline i ljubavi.“</w:t>
      </w:r>
    </w:p>
    <w:p w14:paraId="4D445F11">
      <w:pPr>
        <w:jc w:val="both"/>
        <w:rPr>
          <w:rFonts w:ascii="Times New Roman" w:hAnsi="Times New Roman" w:cs="Times New Roman"/>
          <w:sz w:val="24"/>
          <w:szCs w:val="24"/>
          <w:lang w:val="sr-Latn-RS"/>
        </w:rPr>
      </w:pPr>
      <w:r>
        <w:rPr>
          <w:rFonts w:ascii="Times New Roman" w:hAnsi="Times New Roman" w:cs="Times New Roman"/>
          <w:sz w:val="24"/>
          <w:szCs w:val="24"/>
          <w:lang w:val="sr-Latn-RS"/>
        </w:rPr>
        <w:t>Ova ravnoteža podrazumeva izbegavanje krajnosti – ni previše kontrole ni previše slobode. Autonomija se shvata kao nešto što se pregovara, dok se povezanost podrazumeva.</w:t>
      </w:r>
    </w:p>
    <w:p w14:paraId="52FFE63E">
      <w:pPr>
        <w:jc w:val="both"/>
        <w:rPr>
          <w:rFonts w:ascii="Times New Roman" w:hAnsi="Times New Roman" w:cs="Times New Roman"/>
          <w:i/>
          <w:iCs/>
          <w:sz w:val="24"/>
          <w:szCs w:val="24"/>
          <w:lang w:val="sr-Latn-RS"/>
        </w:rPr>
      </w:pPr>
      <w:r>
        <w:rPr>
          <w:rFonts w:ascii="Times New Roman" w:hAnsi="Times New Roman" w:cs="Times New Roman"/>
          <w:sz w:val="24"/>
          <w:szCs w:val="24"/>
          <w:lang w:val="sr-Latn-RS"/>
        </w:rPr>
        <w:t>Mladi su posebno naglašavali potrebu da ih roditelji razumeju i da učestvuju u donošenju pravila:</w:t>
      </w:r>
      <w:r>
        <w:rPr>
          <w:rFonts w:ascii="Times New Roman" w:hAnsi="Times New Roman" w:cs="Times New Roman"/>
          <w:sz w:val="24"/>
          <w:szCs w:val="24"/>
          <w:lang w:val="sr-Latn-RS"/>
        </w:rPr>
        <w:br w:type="textWrapping"/>
      </w:r>
      <w:r>
        <w:rPr>
          <w:rFonts w:ascii="Times New Roman" w:hAnsi="Times New Roman" w:cs="Times New Roman"/>
          <w:i/>
          <w:iCs/>
          <w:sz w:val="24"/>
          <w:szCs w:val="24"/>
          <w:lang w:val="sr-Latn-RS"/>
        </w:rPr>
        <w:t>„Pravila... uspostavljaju se putem saradnje između njih i dece.“</w:t>
      </w:r>
    </w:p>
    <w:p w14:paraId="6FE82958">
      <w:pPr>
        <w:ind w:firstLine="720"/>
        <w:jc w:val="both"/>
        <w:rPr>
          <w:rFonts w:ascii="Times New Roman" w:hAnsi="Times New Roman" w:cs="Times New Roman"/>
          <w:sz w:val="24"/>
          <w:szCs w:val="24"/>
          <w:lang w:val="sr-Latn-RS"/>
        </w:rPr>
      </w:pPr>
      <w:r>
        <w:rPr>
          <w:rFonts w:ascii="Times New Roman" w:hAnsi="Times New Roman" w:cs="Times New Roman"/>
          <w:sz w:val="24"/>
          <w:szCs w:val="24"/>
          <w:lang w:val="sr-Latn-RS"/>
        </w:rPr>
        <w:t xml:space="preserve">U školskom kontekstu, mladi su suočeni sa visokim stepenom regulisanja i očekivanjem poslušnosti. Od njih se očekuje da se ponašaju kao odgovorni učenici i prilagode pravilima. Iako većina učenika prihvata i podrazumeva školu, motivisanost opada tokom vremena. U prvoj godini većina voli školu, ali se taj procenat smanjuje tokom srednjoškolskog obrazovanja. Ovo opadanje motivacije može se tumačiti i kao pasivni oblik protesta u visoko regulisanom okruženju škole. </w:t>
      </w:r>
    </w:p>
    <w:p w14:paraId="3BE0F9A6">
      <w:pPr>
        <w:jc w:val="both"/>
        <w:rPr>
          <w:rFonts w:ascii="Times New Roman" w:hAnsi="Times New Roman" w:cs="Times New Roman"/>
          <w:sz w:val="24"/>
          <w:szCs w:val="24"/>
          <w:lang w:val="sr-Latn-RS"/>
        </w:rPr>
      </w:pPr>
      <w:r>
        <w:rPr>
          <w:rFonts w:ascii="Times New Roman" w:hAnsi="Times New Roman" w:cs="Times New Roman"/>
          <w:sz w:val="24"/>
          <w:szCs w:val="24"/>
          <w:lang w:val="sr-Latn-RS"/>
        </w:rPr>
        <w:t xml:space="preserve">Saradnja između porodice i škole je formalizovana i ograničena na nekoliko susreta godišnje. Uprkos tome, i roditelji i nastavnici uglavnom imaju pozitivan stav jedni o drugima. Većina roditelja smatra da se slaže sa nastavnicima u pogledu normi i vrednosti, iako ih ne poznaju dobro. Slično misle i nastavnici o roditeljima. </w:t>
      </w:r>
    </w:p>
    <w:p w14:paraId="40D62182">
      <w:pPr>
        <w:jc w:val="both"/>
        <w:rPr>
          <w:rFonts w:ascii="Times New Roman" w:hAnsi="Times New Roman" w:cs="Times New Roman"/>
          <w:sz w:val="24"/>
          <w:szCs w:val="24"/>
          <w:lang w:val="sr-Latn-RS"/>
        </w:rPr>
      </w:pPr>
      <w:r>
        <w:rPr>
          <w:rFonts w:ascii="Times New Roman" w:hAnsi="Times New Roman" w:cs="Times New Roman"/>
          <w:sz w:val="24"/>
          <w:szCs w:val="24"/>
          <w:lang w:val="sr-Latn-RS"/>
        </w:rPr>
        <w:t>Međutim, postoje razlike u očekivanjima:</w:t>
      </w:r>
    </w:p>
    <w:p w14:paraId="71D047A6">
      <w:pPr>
        <w:numPr>
          <w:ilvl w:val="0"/>
          <w:numId w:val="1"/>
        </w:numPr>
        <w:jc w:val="both"/>
        <w:rPr>
          <w:rFonts w:ascii="Times New Roman" w:hAnsi="Times New Roman" w:cs="Times New Roman"/>
          <w:sz w:val="24"/>
          <w:szCs w:val="24"/>
          <w:lang w:val="sr-Latn-RS"/>
        </w:rPr>
      </w:pPr>
      <w:r>
        <w:rPr>
          <w:rFonts w:ascii="Times New Roman" w:hAnsi="Times New Roman" w:cs="Times New Roman"/>
          <w:sz w:val="24"/>
          <w:szCs w:val="24"/>
          <w:lang w:val="sr-Latn-RS"/>
        </w:rPr>
        <w:t xml:space="preserve">neki roditelji traže više discipline i kontrole </w:t>
      </w:r>
    </w:p>
    <w:p w14:paraId="5E5999D3">
      <w:pPr>
        <w:numPr>
          <w:ilvl w:val="0"/>
          <w:numId w:val="1"/>
        </w:numPr>
        <w:jc w:val="both"/>
        <w:rPr>
          <w:rFonts w:ascii="Times New Roman" w:hAnsi="Times New Roman" w:cs="Times New Roman"/>
          <w:sz w:val="24"/>
          <w:szCs w:val="24"/>
          <w:lang w:val="sr-Latn-RS"/>
        </w:rPr>
      </w:pPr>
      <w:r>
        <w:rPr>
          <w:rFonts w:ascii="Times New Roman" w:hAnsi="Times New Roman" w:cs="Times New Roman"/>
          <w:sz w:val="24"/>
          <w:szCs w:val="24"/>
          <w:lang w:val="sr-Latn-RS"/>
        </w:rPr>
        <w:t xml:space="preserve">drugi traže više autonomije i kreativnosti </w:t>
      </w:r>
    </w:p>
    <w:p w14:paraId="2E6F0A7F">
      <w:pPr>
        <w:jc w:val="both"/>
        <w:rPr>
          <w:rFonts w:ascii="Times New Roman" w:hAnsi="Times New Roman" w:cs="Times New Roman"/>
          <w:sz w:val="24"/>
          <w:szCs w:val="24"/>
          <w:lang w:val="sr-Latn-RS"/>
        </w:rPr>
      </w:pPr>
      <w:r>
        <w:rPr>
          <w:rFonts w:ascii="Times New Roman" w:hAnsi="Times New Roman" w:cs="Times New Roman"/>
          <w:sz w:val="24"/>
          <w:szCs w:val="24"/>
          <w:lang w:val="sr-Latn-RS"/>
        </w:rPr>
        <w:t>Ove razlike odražavaju napetost između tradicionalnih i savremenih obrazovnih pristupa.</w:t>
      </w:r>
    </w:p>
    <w:p w14:paraId="6F9DB10E">
      <w:pPr>
        <w:jc w:val="both"/>
        <w:rPr>
          <w:rFonts w:ascii="Times New Roman" w:hAnsi="Times New Roman" w:cs="Times New Roman"/>
          <w:sz w:val="24"/>
          <w:szCs w:val="24"/>
          <w:lang w:val="sr-Latn-RS"/>
        </w:rPr>
      </w:pPr>
      <w:r>
        <w:rPr>
          <w:rFonts w:ascii="Times New Roman" w:hAnsi="Times New Roman" w:cs="Times New Roman"/>
          <w:sz w:val="24"/>
          <w:szCs w:val="24"/>
          <w:lang w:val="sr-Latn-RS"/>
        </w:rPr>
        <w:t>Saradnja funkcioniše dok nema problema, ali postaje složenija kada se pojave teškoće, naročito kod nemotivisanih učenika. Model autonomije, povezanosti i regulisanja pokazuje da postoji jasna razlika između porodičnog i školskog konteksta.</w:t>
      </w:r>
    </w:p>
    <w:p w14:paraId="5C2F28D6">
      <w:pPr>
        <w:jc w:val="both"/>
        <w:rPr>
          <w:rFonts w:ascii="Times New Roman" w:hAnsi="Times New Roman" w:cs="Times New Roman"/>
          <w:sz w:val="24"/>
          <w:szCs w:val="24"/>
          <w:lang w:val="sr-Latn-RS"/>
        </w:rPr>
      </w:pPr>
      <w:r>
        <w:rPr>
          <w:rFonts w:ascii="Times New Roman" w:hAnsi="Times New Roman" w:cs="Times New Roman"/>
          <w:sz w:val="24"/>
          <w:szCs w:val="24"/>
          <w:lang w:val="sr-Latn-RS"/>
        </w:rPr>
        <w:t>U porodici, odnos je dinamičan i zasnovan na pregovaranju između autonomije i povezanosti.</w:t>
      </w:r>
      <w:r>
        <w:rPr>
          <w:rFonts w:ascii="Times New Roman" w:hAnsi="Times New Roman" w:cs="Times New Roman"/>
          <w:sz w:val="24"/>
          <w:szCs w:val="24"/>
          <w:lang w:val="sr-Latn-RS"/>
        </w:rPr>
        <w:br w:type="textWrapping"/>
      </w:r>
      <w:r>
        <w:rPr>
          <w:rFonts w:ascii="Times New Roman" w:hAnsi="Times New Roman" w:cs="Times New Roman"/>
          <w:sz w:val="24"/>
          <w:szCs w:val="24"/>
          <w:lang w:val="sr-Latn-RS"/>
        </w:rPr>
        <w:t>U školi, odnos je formalniji i manje fleksibilan. Mladi razdvajaju ove dve sfere i ne vide školu kao deo dobrog roditeljstva, dok roditelji i institucije teže njihovom povezivanju. Iako saradnja između porodice i škole funkcioniše za većinu učenika, ona nije dovoljna za one koji imaju probleme. U tim slučajevima potrebni su fleksibilniji i individualizovani pristupi i veća saradnja između ove dve institucije.</w:t>
      </w:r>
    </w:p>
    <w:p w14:paraId="036C787A">
      <w:pPr>
        <w:jc w:val="right"/>
        <w:rPr>
          <w:rFonts w:ascii="Times New Roman" w:hAnsi="Times New Roman" w:cs="Times New Roman"/>
          <w:sz w:val="24"/>
          <w:szCs w:val="24"/>
          <w:lang w:val="sr-Latn-RS"/>
        </w:rPr>
      </w:pPr>
      <w:r>
        <w:rPr>
          <w:rFonts w:ascii="Times New Roman" w:hAnsi="Times New Roman" w:cs="Times New Roman"/>
          <w:sz w:val="24"/>
          <w:szCs w:val="24"/>
          <w:lang w:val="sr-Latn-RS"/>
        </w:rPr>
        <w:t xml:space="preserve">Anđela Nikolić SO22/74 </w:t>
      </w:r>
    </w:p>
    <w:p w14:paraId="5FEB057C">
      <w:pPr>
        <w:jc w:val="both"/>
        <w:rPr>
          <w:rFonts w:ascii="Times New Roman" w:hAnsi="Times New Roman" w:cs="Times New Roman"/>
          <w:sz w:val="24"/>
          <w:szCs w:val="24"/>
          <w:lang w:val="sr-Latn-RS"/>
        </w:rPr>
      </w:pPr>
    </w:p>
    <w:p w14:paraId="47DE0015">
      <w:pPr>
        <w:rPr>
          <w:rFonts w:ascii="Times New Roman" w:hAnsi="Times New Roman" w:cs="Times New Roman"/>
          <w:sz w:val="24"/>
          <w:szCs w:val="24"/>
        </w:rPr>
      </w:pPr>
    </w:p>
    <w:sectPr>
      <w:pgSz w:w="11907" w:h="16840"/>
      <w:pgMar w:top="1418" w:right="1418" w:bottom="1418" w:left="1418"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21168C"/>
    <w:multiLevelType w:val="multilevel"/>
    <w:tmpl w:val="6B21168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3"/>
  <w:documentProtection w:enforcement="0"/>
  <w:defaultTabStop w:val="720"/>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289"/>
    <w:rsid w:val="000852E7"/>
    <w:rsid w:val="0011069A"/>
    <w:rsid w:val="001C67EF"/>
    <w:rsid w:val="002144E9"/>
    <w:rsid w:val="002A1BA8"/>
    <w:rsid w:val="003068FE"/>
    <w:rsid w:val="003E7FEC"/>
    <w:rsid w:val="005B5705"/>
    <w:rsid w:val="0063699C"/>
    <w:rsid w:val="006838F2"/>
    <w:rsid w:val="006F1542"/>
    <w:rsid w:val="008E22E4"/>
    <w:rsid w:val="0092255F"/>
    <w:rsid w:val="00997506"/>
    <w:rsid w:val="009A2F1E"/>
    <w:rsid w:val="009C64A6"/>
    <w:rsid w:val="00A11EBE"/>
    <w:rsid w:val="00A93107"/>
    <w:rsid w:val="00B14AA1"/>
    <w:rsid w:val="00B30B45"/>
    <w:rsid w:val="00B33A65"/>
    <w:rsid w:val="00B52289"/>
    <w:rsid w:val="00B735DA"/>
    <w:rsid w:val="00C86CEB"/>
    <w:rsid w:val="00CB343B"/>
    <w:rsid w:val="00CD13CC"/>
    <w:rsid w:val="00CF7C43"/>
    <w:rsid w:val="00DD5EAD"/>
    <w:rsid w:val="00E13F4B"/>
    <w:rsid w:val="00F534DE"/>
    <w:rsid w:val="00F65417"/>
    <w:rsid w:val="00FF0495"/>
    <w:rsid w:val="5F4142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en-US" w:eastAsia="en-US" w:bidi="ar-SA"/>
      <w14:ligatures w14:val="standardContextual"/>
    </w:rPr>
  </w:style>
  <w:style w:type="paragraph" w:styleId="2">
    <w:name w:val="heading 1"/>
    <w:basedOn w:val="1"/>
    <w:next w:val="1"/>
    <w:link w:val="15"/>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17"/>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18"/>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19"/>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0"/>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1"/>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3"/>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Subtitle"/>
    <w:basedOn w:val="1"/>
    <w:next w:val="1"/>
    <w:link w:val="25"/>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4"/>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5">
    <w:name w:val="Heading 1 Char"/>
    <w:basedOn w:val="11"/>
    <w:link w:val="2"/>
    <w:qFormat/>
    <w:uiPriority w:val="9"/>
    <w:rPr>
      <w:rFonts w:asciiTheme="majorHAnsi" w:hAnsiTheme="majorHAnsi" w:eastAsiaTheme="majorEastAsia" w:cstheme="majorBidi"/>
      <w:color w:val="2F5597" w:themeColor="accent1" w:themeShade="BF"/>
      <w:sz w:val="40"/>
      <w:szCs w:val="40"/>
    </w:rPr>
  </w:style>
  <w:style w:type="character" w:customStyle="1" w:styleId="16">
    <w:name w:val="Heading 2 Char"/>
    <w:basedOn w:val="11"/>
    <w:link w:val="3"/>
    <w:semiHidden/>
    <w:qFormat/>
    <w:uiPriority w:val="9"/>
    <w:rPr>
      <w:rFonts w:asciiTheme="majorHAnsi" w:hAnsiTheme="majorHAnsi" w:eastAsiaTheme="majorEastAsia" w:cstheme="majorBidi"/>
      <w:color w:val="2F5597" w:themeColor="accent1" w:themeShade="BF"/>
      <w:sz w:val="32"/>
      <w:szCs w:val="32"/>
    </w:rPr>
  </w:style>
  <w:style w:type="character" w:customStyle="1" w:styleId="17">
    <w:name w:val="Heading 3 Char"/>
    <w:basedOn w:val="11"/>
    <w:link w:val="4"/>
    <w:semiHidden/>
    <w:qFormat/>
    <w:uiPriority w:val="9"/>
    <w:rPr>
      <w:rFonts w:eastAsiaTheme="majorEastAsia" w:cstheme="majorBidi"/>
      <w:color w:val="2F5597" w:themeColor="accent1" w:themeShade="BF"/>
      <w:sz w:val="28"/>
      <w:szCs w:val="28"/>
    </w:rPr>
  </w:style>
  <w:style w:type="character" w:customStyle="1" w:styleId="18">
    <w:name w:val="Heading 4 Char"/>
    <w:basedOn w:val="11"/>
    <w:link w:val="5"/>
    <w:semiHidden/>
    <w:qFormat/>
    <w:uiPriority w:val="9"/>
    <w:rPr>
      <w:rFonts w:eastAsiaTheme="majorEastAsia" w:cstheme="majorBidi"/>
      <w:i/>
      <w:iCs/>
      <w:color w:val="2F5597" w:themeColor="accent1" w:themeShade="BF"/>
    </w:rPr>
  </w:style>
  <w:style w:type="character" w:customStyle="1" w:styleId="19">
    <w:name w:val="Heading 5 Char"/>
    <w:basedOn w:val="11"/>
    <w:link w:val="6"/>
    <w:semiHidden/>
    <w:qFormat/>
    <w:uiPriority w:val="9"/>
    <w:rPr>
      <w:rFonts w:eastAsiaTheme="majorEastAsia" w:cstheme="majorBidi"/>
      <w:color w:val="2F5597" w:themeColor="accent1" w:themeShade="BF"/>
    </w:rPr>
  </w:style>
  <w:style w:type="character" w:customStyle="1" w:styleId="20">
    <w:name w:val="Heading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1">
    <w:name w:val="Heading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2">
    <w:name w:val="Heading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3">
    <w:name w:val="Heading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4">
    <w:name w:val="Title Char"/>
    <w:basedOn w:val="11"/>
    <w:link w:val="14"/>
    <w:qFormat/>
    <w:uiPriority w:val="10"/>
    <w:rPr>
      <w:rFonts w:asciiTheme="majorHAnsi" w:hAnsiTheme="majorHAnsi" w:eastAsiaTheme="majorEastAsia" w:cstheme="majorBidi"/>
      <w:spacing w:val="-10"/>
      <w:kern w:val="28"/>
      <w:sz w:val="56"/>
      <w:szCs w:val="56"/>
    </w:rPr>
  </w:style>
  <w:style w:type="character" w:customStyle="1" w:styleId="25">
    <w:name w:val="Subtitle Char"/>
    <w:basedOn w:val="11"/>
    <w:link w:val="13"/>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Quote Char"/>
    <w:basedOn w:val="11"/>
    <w:link w:val="26"/>
    <w:qFormat/>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1"/>
    <w:qFormat/>
    <w:uiPriority w:val="21"/>
    <w:rPr>
      <w:i/>
      <w:iCs/>
      <w:color w:val="2F5597" w:themeColor="accent1" w:themeShade="BF"/>
    </w:rPr>
  </w:style>
  <w:style w:type="paragraph" w:styleId="30">
    <w:name w:val="Intense Quote"/>
    <w:basedOn w:val="1"/>
    <w:next w:val="1"/>
    <w:link w:val="31"/>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1">
    <w:name w:val="Intense Quote Char"/>
    <w:basedOn w:val="11"/>
    <w:link w:val="30"/>
    <w:qFormat/>
    <w:uiPriority w:val="30"/>
    <w:rPr>
      <w:i/>
      <w:iCs/>
      <w:color w:val="2F5597" w:themeColor="accent1" w:themeShade="BF"/>
    </w:rPr>
  </w:style>
  <w:style w:type="character" w:customStyle="1" w:styleId="32">
    <w:name w:val="Intense Reference"/>
    <w:basedOn w:val="11"/>
    <w:qFormat/>
    <w:uiPriority w:val="32"/>
    <w:rPr>
      <w:b/>
      <w:bCs/>
      <w:smallCaps/>
      <w:color w:val="2F5597" w:themeColor="accent1" w:themeShade="BF"/>
      <w:spacing w:val="5"/>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814</Words>
  <Characters>4961</Characters>
  <Lines>41</Lines>
  <Paragraphs>11</Paragraphs>
  <TotalTime>170</TotalTime>
  <ScaleCrop>false</ScaleCrop>
  <LinksUpToDate>false</LinksUpToDate>
  <CharactersWithSpaces>5759</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2026-05-03T16:41:00Z</dcterms:created>
  <dc:creator>Katarina</dc:creator>
  <cp:lastModifiedBy>smiljka tomanovic</cp:lastModifiedBy>
  <dcterms:modified xsi:type="dcterms:W3CDTF">2026-05-04T13:52:46Z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5B1E71EAACF743B5AADAE6FA4837798B_13</vt:lpwstr>
  </property>
</Properties>
</file>