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3C1BC">
      <w:pPr>
        <w:rPr>
          <w:rFonts w:ascii="Times New Roman" w:hAnsi="Times New Roman" w:cs="Times New Roman"/>
          <w:sz w:val="32"/>
          <w:szCs w:val="32"/>
          <w:lang w:val="sr-Latn-RS"/>
        </w:rPr>
      </w:pPr>
      <w:bookmarkStart w:id="0" w:name="_GoBack"/>
      <w:bookmarkEnd w:id="0"/>
      <w:r>
        <w:rPr>
          <w:rFonts w:ascii="Times New Roman" w:hAnsi="Times New Roman" w:cs="Times New Roman"/>
          <w:sz w:val="32"/>
          <w:szCs w:val="32"/>
          <w:lang w:val="sr-Latn-RS"/>
        </w:rPr>
        <w:t>Borba protiv dečijeg rada – saslušajmo šta deca kažu – Martin Vudhed</w:t>
      </w:r>
    </w:p>
    <w:p w14:paraId="289653A7">
      <w:pPr>
        <w:rPr>
          <w:rFonts w:ascii="Times New Roman" w:hAnsi="Times New Roman" w:cs="Times New Roman"/>
          <w:sz w:val="28"/>
          <w:szCs w:val="28"/>
          <w:lang w:val="sr-Latn-RS"/>
        </w:rPr>
      </w:pPr>
      <w:r>
        <w:rPr>
          <w:rFonts w:ascii="Times New Roman" w:hAnsi="Times New Roman" w:cs="Times New Roman"/>
          <w:sz w:val="28"/>
          <w:szCs w:val="28"/>
          <w:lang w:val="sr-Latn-RS"/>
        </w:rPr>
        <w:t>Saša Šolić SO 22/44</w:t>
      </w:r>
    </w:p>
    <w:p w14:paraId="0B59C764">
      <w:pPr>
        <w:rPr>
          <w:rFonts w:ascii="Times New Roman" w:hAnsi="Times New Roman" w:cs="Times New Roman"/>
          <w:b/>
          <w:bCs/>
          <w:sz w:val="28"/>
          <w:szCs w:val="28"/>
          <w:lang w:val="sr-Latn-RS"/>
        </w:rPr>
      </w:pPr>
      <w:r>
        <w:rPr>
          <w:rFonts w:ascii="Times New Roman" w:hAnsi="Times New Roman" w:cs="Times New Roman"/>
          <w:b/>
          <w:bCs/>
          <w:sz w:val="28"/>
          <w:szCs w:val="28"/>
          <w:lang w:val="sr-Latn-RS"/>
        </w:rPr>
        <w:t xml:space="preserve">Drugi slajd – </w:t>
      </w:r>
      <w:r>
        <w:rPr>
          <w:rFonts w:ascii="Times New Roman" w:hAnsi="Times New Roman" w:cs="Times New Roman"/>
          <w:b/>
          <w:bCs/>
          <w:i/>
          <w:iCs/>
          <w:sz w:val="28"/>
          <w:szCs w:val="28"/>
          <w:lang w:val="sr-Latn-RS"/>
        </w:rPr>
        <w:t>Uvod</w:t>
      </w:r>
      <w:r>
        <w:rPr>
          <w:rFonts w:ascii="Times New Roman" w:hAnsi="Times New Roman" w:cs="Times New Roman"/>
          <w:b/>
          <w:bCs/>
          <w:sz w:val="28"/>
          <w:szCs w:val="28"/>
          <w:lang w:val="sr-Latn-RS"/>
        </w:rPr>
        <w:t xml:space="preserve">; Treći slajd – </w:t>
      </w:r>
      <w:r>
        <w:rPr>
          <w:rFonts w:ascii="Times New Roman" w:hAnsi="Times New Roman" w:cs="Times New Roman"/>
          <w:b/>
          <w:bCs/>
          <w:i/>
          <w:iCs/>
          <w:sz w:val="28"/>
          <w:szCs w:val="28"/>
          <w:lang w:val="sr-Latn-RS"/>
        </w:rPr>
        <w:t>O istraživanju</w:t>
      </w:r>
    </w:p>
    <w:p w14:paraId="48CF957A">
      <w:pPr>
        <w:rPr>
          <w:rFonts w:ascii="Times New Roman" w:hAnsi="Times New Roman" w:cs="Times New Roman"/>
          <w:b/>
          <w:bCs/>
          <w:sz w:val="28"/>
          <w:szCs w:val="28"/>
          <w:lang w:val="sr-Latn-RS"/>
        </w:rPr>
      </w:pPr>
    </w:p>
    <w:p w14:paraId="2C6B220F">
      <w:pPr>
        <w:jc w:val="both"/>
        <w:rPr>
          <w:lang w:val="sr-Latn-RS"/>
        </w:rPr>
      </w:pPr>
      <w:r>
        <w:rPr>
          <w:lang w:val="sr-Latn-RS"/>
        </w:rPr>
        <w:t xml:space="preserve">Članak o kome je reč, odnosi se na istraživanje koje je deo šireg projekta koji je sproveden od strane organizacije Radda Barnen, švedske sekcije međunarodne organizacije za zaštitu dece. Ovo istraživanje koje ćemo prikazati, bavi se dečijom perspektivom dečijeg rada. Autor polazi od toga da se u međunarodnim diskusijama o dečijem radu uglavnom naglašavaju opasnost, eksploatacija i zaštita, dok se zanemaruju iskustva i mišljenja dece. </w:t>
      </w:r>
    </w:p>
    <w:p w14:paraId="7C362776">
      <w:pPr>
        <w:jc w:val="both"/>
        <w:rPr>
          <w:lang w:val="sr-Latn-RS"/>
        </w:rPr>
      </w:pPr>
      <w:r>
        <w:rPr>
          <w:lang w:val="sr-Latn-RS"/>
        </w:rPr>
        <w:t>Konvencija o pravima deteta UN predstavlja polaznu tačku za ovo istraživanje i to sledeći članovi: 32, 12 i 28. Član 32 se odnosi na pravo deteta na zaštitu od ekonomskog iskorišćavanja i posla koji ima negativne posledice po dete, član 12 predstavlja pravo na izražavanje sopstvenog mišljenja dok član 28 se odnosi na obavezno pohađanje škole. Na osnovu navedenih članova Konvencije UN o pravima deteta, autor formira početnu diskusiju o važnosti dečije perspektive kada je u pitanju dečiji rad i kako kroz njihovo iskustvo se može videti uticaj rada na njihov psihološki ali i ukupan razvoj (što uključuje i formiranje identiteta).</w:t>
      </w:r>
    </w:p>
    <w:p w14:paraId="3FBCBC4E">
      <w:pPr>
        <w:jc w:val="both"/>
        <w:rPr>
          <w:b/>
          <w:bCs/>
          <w:i/>
          <w:iCs/>
          <w:sz w:val="28"/>
          <w:szCs w:val="28"/>
          <w:lang w:val="sr-Latn-RS"/>
        </w:rPr>
      </w:pPr>
      <w:r>
        <w:rPr>
          <w:b/>
          <w:bCs/>
          <w:sz w:val="28"/>
          <w:szCs w:val="28"/>
          <w:lang w:val="sr-Latn-RS"/>
        </w:rPr>
        <w:t xml:space="preserve">Četvrti i peti slajd – </w:t>
      </w:r>
      <w:r>
        <w:rPr>
          <w:b/>
          <w:bCs/>
          <w:i/>
          <w:iCs/>
          <w:sz w:val="28"/>
          <w:szCs w:val="28"/>
          <w:lang w:val="sr-Latn-RS"/>
        </w:rPr>
        <w:t xml:space="preserve">Metod istraživanja </w:t>
      </w:r>
      <w:r>
        <w:rPr>
          <w:b/>
          <w:bCs/>
          <w:sz w:val="28"/>
          <w:szCs w:val="28"/>
          <w:lang w:val="sr-Latn-RS"/>
        </w:rPr>
        <w:t xml:space="preserve">; Šest slajd – </w:t>
      </w:r>
      <w:r>
        <w:rPr>
          <w:b/>
          <w:bCs/>
          <w:i/>
          <w:iCs/>
          <w:sz w:val="28"/>
          <w:szCs w:val="28"/>
          <w:lang w:val="sr-Latn-RS"/>
        </w:rPr>
        <w:t>Uzorak istraživanja</w:t>
      </w:r>
    </w:p>
    <w:p w14:paraId="70FE2477">
      <w:pPr>
        <w:jc w:val="both"/>
        <w:rPr>
          <w:b/>
          <w:bCs/>
          <w:sz w:val="28"/>
          <w:szCs w:val="28"/>
          <w:lang w:val="sr-Latn-RS"/>
        </w:rPr>
      </w:pPr>
    </w:p>
    <w:p w14:paraId="248073CE">
      <w:pPr>
        <w:jc w:val="both"/>
        <w:rPr>
          <w:lang w:val="sr-Latn-RS"/>
        </w:rPr>
      </w:pPr>
      <w:r>
        <w:rPr>
          <w:lang w:val="sr-Latn-RS"/>
        </w:rPr>
        <w:t xml:space="preserve">U ovom istraživanju korišćen su participativne istraživačke metode, to jest „protokol o dečijoj perspektivi“. Protokol o dečijoj perspektivi zasniva se delimično na participativnim metodama, a delimično na konvencionalnim metodama koje koriste razvojni i socijalni psiholozi. Predstavlja pomoćno sredstvo za grupni rad sa učesnicima sličnog uzrasta, zaposlenja i istog roda, i iziskuje najmanje 2 istraživača na terenu. Grupe su vođene neformalno, idealno u toku nekoliko dana. Protokol dopušta kombinovanje kvalitativnih i kvantitativnih informacija, potkrepljenih doslovnim citiranjem dece. Istraživači na terenu se podstiču da prilagode ciljeve lokalnim prilikama, da bi deca mogla predstaviti svoja osećanja i uverenja na način koji je za njih najsmisleniji, što obuhvata crtanje, grafičko prikazivanje, igranje uloga, kao i grupno diskutovanje. </w:t>
      </w:r>
    </w:p>
    <w:p w14:paraId="01C25590">
      <w:pPr>
        <w:jc w:val="both"/>
        <w:rPr>
          <w:lang w:val="sr-Latn-RS"/>
        </w:rPr>
      </w:pPr>
      <w:r>
        <w:rPr>
          <w:lang w:val="sr-Latn-RS"/>
        </w:rPr>
        <w:t>U srži protokola je niz polustrukturisanih aktivnosti i igara koje su fokusirane na ključne teme u životu dece. Mnoge od njih zasnivaju su na karticama sa slikama napravljenima u toj oblasti, a koje deca mogu da upoređuju, razvrstavaju i ređaju, što daje razne kombinacije individualnih i grupnih odgovora. Istraživanje obuhvata ukupno osam aktivnosti oko kojih je strukturisano a one su sledeće: „Moj dan“ ; „Moj posao“ ; „Ko je važan“; „Posao i škola“; „Koji posao je najbolji“; „Šta je dete“; „Šta ako“; „Životne priče“.</w:t>
      </w:r>
    </w:p>
    <w:p w14:paraId="428DC262">
      <w:pPr>
        <w:jc w:val="both"/>
        <w:rPr>
          <w:lang w:val="sr-Latn-RS"/>
        </w:rPr>
      </w:pPr>
      <w:r>
        <w:rPr>
          <w:lang w:val="sr-Latn-RS"/>
        </w:rPr>
        <w:t>Istraživanje su obavili lokalni istraživači u četiri regiona: Bangladešu, Etiopiji, Filipinima i zemljama Srednje Amerike: El Salvadoru, Gvatemali i Nikaragvi. Više od 300 devojčica i dečaka učestvovalo je u 49 grupa tokom 1996/7, većina u dobu od 10 - 14 godina. Izabrana su zanimanja koja odražavaju širok spektar ruralnih kao i urbanih radnih situacija, uključujući: zemljoradnju, rad na plantažama, ribolov, rudarstvo, rad na pijaci, na nošenju, čišćenju cipela i pružanju seksualnih usluga, neki od ovih poslova su prikazani u tekstu.</w:t>
      </w:r>
    </w:p>
    <w:p w14:paraId="1CE49E8E">
      <w:pPr>
        <w:jc w:val="both"/>
        <w:rPr>
          <w:b/>
          <w:bCs/>
          <w:i/>
          <w:iCs/>
          <w:sz w:val="28"/>
          <w:szCs w:val="28"/>
          <w:lang w:val="sr-Latn-RS"/>
        </w:rPr>
      </w:pPr>
      <w:r>
        <w:rPr>
          <w:b/>
          <w:bCs/>
          <w:sz w:val="28"/>
          <w:szCs w:val="28"/>
          <w:lang w:val="sr-Latn-RS"/>
        </w:rPr>
        <w:t xml:space="preserve">Sedmi slajd – </w:t>
      </w:r>
      <w:r>
        <w:rPr>
          <w:b/>
          <w:bCs/>
          <w:i/>
          <w:iCs/>
          <w:sz w:val="28"/>
          <w:szCs w:val="28"/>
          <w:lang w:val="sr-Latn-RS"/>
        </w:rPr>
        <w:t>Kako deca procenjuju koje je posao „najbolji“</w:t>
      </w:r>
    </w:p>
    <w:p w14:paraId="3D1E584C">
      <w:pPr>
        <w:jc w:val="both"/>
        <w:rPr>
          <w:b/>
          <w:bCs/>
          <w:lang w:val="sr-Latn-RS"/>
        </w:rPr>
      </w:pPr>
    </w:p>
    <w:p w14:paraId="7056B4EF">
      <w:pPr>
        <w:jc w:val="both"/>
        <w:rPr>
          <w:lang w:val="sr-Latn-RS"/>
        </w:rPr>
      </w:pPr>
      <w:r>
        <w:rPr>
          <w:lang w:val="sr-Latn-RS"/>
        </w:rPr>
        <w:t>Aktivnost broj 5: ‘Koji posao je najbolji?’ prenosi dečije rangiranje dečijih zanimanja (uključujući i sopstveni) u pogledu relativne poželjnosti/nepoželjnosti, i istražuje kriterijume na osnovu kojih deca to prosuđuju. Deci je postavljeno pitanje koje vrste posla smatraju najpoželjnijim a koje najmanje poželjnim, i koje kriterijume koriste pri formiranju svog suda. Od grupa je traženo da razvrstaju pet (ili u nekim slučajevima šest) dečijih zanimanja koje poznaju, koristeći karte sa slikama raširene po podu kao podsticaj. Deca ne procenjuju posao samo po težini, važni su im:  zarada, sigurnost, samostalnost, odnos poslodavca prema njima i mogućnost napredovanja. Takođe, deca često pozitivno vrednuju sopstveno zanimanje, što se može razumeti kao pokazatelj ličnog i kulturnog investiranja pri savladavanju poznate situacije uprkos opasnosti i eksploatisanju koje nosi sa sobom. U slučaju kada deca nisko rangiraju svoje poslove, to može biti pokazatelj da je njihov posao izvor kulturne stigme i lične sramote (primer: pružanje seksualnih usluga je odvojeno od ostalih zanimanja među najgora).</w:t>
      </w:r>
    </w:p>
    <w:p w14:paraId="2F8E4C7E">
      <w:pPr>
        <w:jc w:val="both"/>
        <w:rPr>
          <w:b/>
          <w:bCs/>
          <w:i/>
          <w:iCs/>
          <w:sz w:val="28"/>
          <w:szCs w:val="28"/>
          <w:lang w:val="sr-Latn-RS"/>
        </w:rPr>
      </w:pPr>
      <w:r>
        <w:rPr>
          <w:b/>
          <w:bCs/>
          <w:sz w:val="28"/>
          <w:szCs w:val="28"/>
          <w:lang w:val="sr-Latn-RS"/>
        </w:rPr>
        <w:t xml:space="preserve">Od osmog do dvanaestog  slajda – </w:t>
      </w:r>
      <w:r>
        <w:rPr>
          <w:b/>
          <w:bCs/>
          <w:i/>
          <w:iCs/>
          <w:sz w:val="28"/>
          <w:szCs w:val="28"/>
          <w:lang w:val="sr-Latn-RS"/>
        </w:rPr>
        <w:t>Primer iz Bangladeša</w:t>
      </w:r>
    </w:p>
    <w:p w14:paraId="150ACDE1">
      <w:pPr>
        <w:jc w:val="both"/>
        <w:rPr>
          <w:b/>
          <w:bCs/>
          <w:i/>
          <w:iCs/>
          <w:sz w:val="28"/>
          <w:szCs w:val="28"/>
          <w:lang w:val="sr-Latn-RS"/>
        </w:rPr>
      </w:pPr>
    </w:p>
    <w:p w14:paraId="21F850AA">
      <w:pPr>
        <w:jc w:val="both"/>
        <w:rPr>
          <w:lang w:val="sr-Latn-RS"/>
        </w:rPr>
      </w:pPr>
      <w:r>
        <w:rPr>
          <w:lang w:val="sr-Latn-RS"/>
        </w:rPr>
        <w:t>U tekstu je izabran primer Bangladeša kao najbolji način da se oslikaju uverenja dece o njihovom poslu. Uporedo se prikazuju četiri grupe dečaka i devojčica. Dve grupe dečaka su iz neformalnog sektora (tkanje i vezenje), oni su svoj posao rangirali kao prvi, iako im je posao bio znatno težak stavljali su ga iznad svih ostalih: ”Nosač često dobija batine od mušterija.... I nas često tuku i verbalno zlostavljaju, ali to ipak radi samo jedna osoba (poslodavac) a ne narod”.</w:t>
      </w:r>
    </w:p>
    <w:p w14:paraId="5913B1D4">
      <w:pPr>
        <w:jc w:val="both"/>
        <w:rPr>
          <w:lang w:val="sr-Latn-RS"/>
        </w:rPr>
      </w:pPr>
      <w:r>
        <w:rPr>
          <w:lang w:val="sr-Latn-RS"/>
        </w:rPr>
        <w:t xml:space="preserve">U tabeli 1 iz prezentacije, koja se odnosi na pitanje „Koji je posao najbolji?“ raspoređene su po dve grupe dečaka iz neformalnog sektora i onih koji obavljaju posao nosača. Možemo zaključiti sledeće: </w:t>
      </w:r>
    </w:p>
    <w:p w14:paraId="5B7447C1">
      <w:pPr>
        <w:pStyle w:val="28"/>
        <w:numPr>
          <w:ilvl w:val="0"/>
          <w:numId w:val="1"/>
        </w:numPr>
        <w:jc w:val="both"/>
        <w:rPr>
          <w:lang w:val="sr-Latn-RS"/>
        </w:rPr>
      </w:pPr>
      <w:r>
        <w:rPr>
          <w:lang w:val="sr-Latn-RS"/>
        </w:rPr>
        <w:t>Nijedna grupa nosača nije smatrala sopstveni posao najboljim, oni su donosili svoj sud s obzirom na sigurne izglede za napredovanje u karijeri, te su posao privremenog pomoćnika stavljali na vrh rang – liste, jer bi mogao dovesti do toga da postanu privremeni vozači.</w:t>
      </w:r>
    </w:p>
    <w:p w14:paraId="16F1A64F">
      <w:pPr>
        <w:pStyle w:val="28"/>
        <w:numPr>
          <w:ilvl w:val="0"/>
          <w:numId w:val="1"/>
        </w:numPr>
        <w:jc w:val="both"/>
        <w:rPr>
          <w:lang w:val="sr-Latn-RS"/>
        </w:rPr>
      </w:pPr>
      <w:r>
        <w:rPr>
          <w:lang w:val="sr-Latn-RS"/>
        </w:rPr>
        <w:t>Nijedna od ovih grupa dečaka nije povoljno rangirala ni struganje cigli ni kućne poslove.</w:t>
      </w:r>
    </w:p>
    <w:p w14:paraId="74D3674F">
      <w:pPr>
        <w:pStyle w:val="28"/>
        <w:numPr>
          <w:ilvl w:val="0"/>
          <w:numId w:val="1"/>
        </w:numPr>
        <w:jc w:val="both"/>
        <w:rPr>
          <w:lang w:val="sr-Latn-RS"/>
        </w:rPr>
      </w:pPr>
      <w:r>
        <w:rPr>
          <w:lang w:val="sr-Latn-RS"/>
        </w:rPr>
        <w:t>Dečaci koji su radili na vezenju u okviru neformalnog sektora smatrali su struganje cigli najgorom vrstom posla.</w:t>
      </w:r>
    </w:p>
    <w:p w14:paraId="5BC86067">
      <w:pPr>
        <w:jc w:val="both"/>
        <w:rPr>
          <w:lang w:val="sr-Latn-RS"/>
        </w:rPr>
      </w:pPr>
      <w:r>
        <w:rPr>
          <w:lang w:val="sr-Latn-RS"/>
        </w:rPr>
        <w:t xml:space="preserve">U tabeli 2, koja se takođe odnosi na pitanje „Koji je posao najbolji?“, u ovom slučaju raspoređene su po dve grupe devojčica iz neformalnog sektora i onih koje obavljaju posao nosača. Zaključujemo sledeće: </w:t>
      </w:r>
    </w:p>
    <w:p w14:paraId="25715907">
      <w:pPr>
        <w:pStyle w:val="28"/>
        <w:numPr>
          <w:ilvl w:val="0"/>
          <w:numId w:val="2"/>
        </w:numPr>
        <w:jc w:val="both"/>
        <w:rPr>
          <w:lang w:val="sr-Latn-RS"/>
        </w:rPr>
      </w:pPr>
      <w:r>
        <w:rPr>
          <w:lang w:val="sr-Latn-RS"/>
        </w:rPr>
        <w:t>Struganje cigli i pomoć u kući su takođe nisko rangirani, osim kada su devojčice zapravo radile taj posao.</w:t>
      </w:r>
    </w:p>
    <w:p w14:paraId="6211BA7E">
      <w:pPr>
        <w:pStyle w:val="28"/>
        <w:numPr>
          <w:ilvl w:val="0"/>
          <w:numId w:val="2"/>
        </w:numPr>
        <w:jc w:val="both"/>
        <w:rPr>
          <w:lang w:val="sr-Latn-RS"/>
        </w:rPr>
      </w:pPr>
      <w:r>
        <w:rPr>
          <w:lang w:val="sr-Latn-RS"/>
        </w:rPr>
        <w:t>Iako su ove grupe devojčica koje stružu cigle i kućne pomoćnice nastojale da pokažu prednosti svoje radne situacije, u četiri od pet slučajeva one su stavljale neko drugo. zanimanje na bolje mesto od svog. Prednost je data dvema vrstama posla - prodavanju cveća i proizvodnji konfekcije.</w:t>
      </w:r>
    </w:p>
    <w:p w14:paraId="763E97ED">
      <w:pPr>
        <w:jc w:val="both"/>
        <w:rPr>
          <w:lang w:val="sr-Latn-RS"/>
        </w:rPr>
      </w:pPr>
      <w:r>
        <w:rPr>
          <w:lang w:val="sr-Latn-RS"/>
        </w:rPr>
        <w:t>Uključivanje dečije percepcije je od velikog značaja kada se određuju koje su vrste posla najgore, takođe ukazuje nam na lično ulaganje koje mladi ulažu u sopstveno zanimanje, uprkos teškim uslovima i opasnostima. Rasvetljava se kako deca donose sud o svom zanimanju u odnosu na druge mogućnosti koje mogu biti otvorene – uzimajući u obzir opasnosti, troškove i prednosti.</w:t>
      </w:r>
    </w:p>
    <w:p w14:paraId="2645DF7A">
      <w:pPr>
        <w:jc w:val="both"/>
        <w:rPr>
          <w:b/>
          <w:bCs/>
          <w:i/>
          <w:iCs/>
          <w:sz w:val="28"/>
          <w:szCs w:val="28"/>
          <w:lang w:val="sr-Latn-RS"/>
        </w:rPr>
      </w:pPr>
      <w:r>
        <w:rPr>
          <w:b/>
          <w:bCs/>
          <w:sz w:val="28"/>
          <w:szCs w:val="28"/>
          <w:lang w:val="sr-Latn-RS"/>
        </w:rPr>
        <w:t xml:space="preserve">Od četrnaestog do dvadeset prvog slajda – </w:t>
      </w:r>
      <w:r>
        <w:rPr>
          <w:b/>
          <w:bCs/>
          <w:i/>
          <w:iCs/>
          <w:sz w:val="28"/>
          <w:szCs w:val="28"/>
          <w:lang w:val="sr-Latn-RS"/>
        </w:rPr>
        <w:t>Odnos posla i škole</w:t>
      </w:r>
    </w:p>
    <w:p w14:paraId="512EFD93">
      <w:pPr>
        <w:jc w:val="both"/>
        <w:rPr>
          <w:b/>
          <w:bCs/>
          <w:i/>
          <w:iCs/>
          <w:sz w:val="28"/>
          <w:szCs w:val="28"/>
          <w:lang w:val="sr-Latn-RS"/>
        </w:rPr>
      </w:pPr>
    </w:p>
    <w:p w14:paraId="11B8DEF7">
      <w:pPr>
        <w:jc w:val="both"/>
        <w:rPr>
          <w:lang w:val="sr-Latn-RS"/>
        </w:rPr>
      </w:pPr>
      <w:r>
        <w:rPr>
          <w:lang w:val="sr-Latn-RS"/>
        </w:rPr>
        <w:t>Ovaj deo se odnosi na aktivnost 4 - ‘Posao i škola’ pita decu šta smatraju lošim a šta dobrim stvarima u vezi sa njihovim poslom, a onda se ta aktivnost ponavlja za školu, pre nego što se ustanovi čemu deca daju prednost.</w:t>
      </w:r>
    </w:p>
    <w:p w14:paraId="56E14416">
      <w:pPr>
        <w:jc w:val="both"/>
        <w:rPr>
          <w:lang w:val="sr-Latn-RS"/>
        </w:rPr>
      </w:pPr>
      <w:r>
        <w:rPr>
          <w:lang w:val="sr-Latn-RS"/>
        </w:rPr>
        <w:t>Tabela 3 u prezentaciji se odnosu na „loše stvari u vezi sa poslom, glavne teme u grupama devojčica i dečaka. Navedene su glavne teme, zajedno sa procentom grupa u kojima je svaka od tih tema spomenuta. Tema opasnih uslova rada je najdoslednije spominjana, na primer među dečacima koji su radili u rudnicima olova u Gvatemali. Na Filipinima, devojčice (7-10 godina) koje rade na plantažama šećera navode sledeće probleme sa kojima se suočavaju:</w:t>
      </w:r>
    </w:p>
    <w:p w14:paraId="4DF5C8A4">
      <w:pPr>
        <w:ind w:left="720"/>
        <w:jc w:val="both"/>
        <w:rPr>
          <w:lang w:val="sr-Latn-RS"/>
        </w:rPr>
      </w:pPr>
      <w:r>
        <w:rPr>
          <w:lang w:val="sr-Latn-RS"/>
        </w:rPr>
        <w:t xml:space="preserve"> „radimo bosonoge a tlo je vrelo.... Alat je oštar... Zemlju je teško prelomiti... Sva sam izgrebana... Sve me svrbi.“</w:t>
      </w:r>
    </w:p>
    <w:p w14:paraId="66F5D623">
      <w:pPr>
        <w:ind w:left="720"/>
        <w:jc w:val="both"/>
        <w:rPr>
          <w:lang w:val="sr-Latn-RS"/>
        </w:rPr>
      </w:pPr>
    </w:p>
    <w:p w14:paraId="25EDB635">
      <w:pPr>
        <w:ind w:left="720"/>
        <w:jc w:val="both"/>
        <w:rPr>
          <w:lang w:val="sr-Latn-RS"/>
        </w:rPr>
      </w:pPr>
    </w:p>
    <w:p w14:paraId="188000C1">
      <w:pPr>
        <w:ind w:left="720"/>
        <w:jc w:val="both"/>
        <w:rPr>
          <w:lang w:val="sr-Latn-RS"/>
        </w:rPr>
      </w:pPr>
    </w:p>
    <w:p w14:paraId="4CED4A4F">
      <w:pPr>
        <w:jc w:val="both"/>
        <w:rPr>
          <w:lang w:val="sr-Latn-RS"/>
        </w:rPr>
      </w:pPr>
      <w:r>
        <w:rPr>
          <w:lang w:val="sr-Latn-RS"/>
        </w:rPr>
        <w:t xml:space="preserve">Tema koja se ponavljala u dečijim komentarima tiče se ne toliko samog posla, već načina kako postupaju prema njima. Deca se osećaju nezaštićenom u odnosu na one koji imaju više moći i autoriteta. Takođe, deca govore o ljudima koji ih zastrašuju, iznuđuju im novac, postavljaju im neumerene zahteve, zavaravaju ih, ismevaju, ponižavaju, tuku ili na neki drugi način zlostavljaju. Izvori zlostavljanja obuhvataju poslodavce, mušterije, policiju, pripadnike naroda i drugu decu. </w:t>
      </w:r>
    </w:p>
    <w:p w14:paraId="1F845C0E">
      <w:pPr>
        <w:jc w:val="both"/>
        <w:rPr>
          <w:lang w:val="sr-Latn-RS"/>
        </w:rPr>
      </w:pPr>
      <w:r>
        <w:rPr>
          <w:lang w:val="sr-Latn-RS"/>
        </w:rPr>
        <w:t>Tabela 4 predstavlja dečije komentare u vezi sa „dobrim stvarima“ posla. Za većinu grupa zarađivanje novca bilo je u tesnoj vezi sa izdržavanjem svoje porodice, iako su učesnici bili izrazito svesni ekonomske koristi od rada, oni su isto tako uviđali da posao omogućava učenje veština i obučavanje. Isto tako uviđeno je da su prijatelji važni u kriznim vremenima.</w:t>
      </w:r>
    </w:p>
    <w:p w14:paraId="5CB341FA">
      <w:pPr>
        <w:jc w:val="both"/>
        <w:rPr>
          <w:lang w:val="sr-Latn-RS"/>
        </w:rPr>
      </w:pPr>
      <w:r>
        <w:rPr>
          <w:lang w:val="sr-Latn-RS"/>
        </w:rPr>
        <w:t>Tabela 5 rezimira komentare dece o ‘dobrim stvarima’ u vezi sa školom. Kao i ranije, navedene su glavne teme, zajedno sa procentima grupa koje su spominjale svaku od tih tema. Pismenost i sposobnost računanja je najdoslednije spominjana tema, čak češće među grupama devojčica nego grupama dečaka. Samo polovina svih grupa u ovom istraživanju ukazala je na temu poboljšanih izgleda za posao kao jedne od koristi od škole. Druga najčešće spominjana kategorija dobrih stvari u vezi sa školom tiče se druženja sa prijateljima. Prijatna iskustva u školi su po mišljenju mnogih učesnika tesno povezana sa njihovim samopoštovanjem u zajednici i uspostavljanje pozitivnih odnosa sa nastavnicima je isto tako važno nekim grupama.</w:t>
      </w:r>
    </w:p>
    <w:p w14:paraId="5A885964">
      <w:pPr>
        <w:jc w:val="both"/>
        <w:rPr>
          <w:lang w:val="sr-Latn-RS"/>
        </w:rPr>
      </w:pPr>
      <w:r>
        <w:rPr>
          <w:lang w:val="sr-Latn-RS"/>
        </w:rPr>
        <w:t>Tabela 6 rezimira komentare dece o „lošim stvarima“  u vezi sa školom. Iako deca prepoznaju da je mogućnost školskog uspeha ‘dobra stvar’ u vezi sa školom, za mnogu decu stvarnost nije tako pozitivna. Veoma uobičajena tema ticala se škole kao uvredljivog i ponižavajućeg iskustva, izvor poniženja u školi mogu biti i druga deca, što su ispričali mladi iz Nikaragve, Etiopije i Filipina. Za mnogu decu školski problemi su opet bili tesno povezani sa pitanjem posla. Učesnici su ukazivali na troškove školovanja, koji su se pogoršavali usled gubitka zarade dok su u školi. Čak i kada zaposlena deca uspeju da pokriju troškove školovanja, i dalje se suočavaju sa ogromnim praktičnim pritiskom da usklade školske zahteve sa neophodnošću da rade.</w:t>
      </w:r>
    </w:p>
    <w:p w14:paraId="3DD9F41A">
      <w:pPr>
        <w:jc w:val="both"/>
        <w:rPr>
          <w:lang w:val="sr-Latn-RS"/>
        </w:rPr>
      </w:pPr>
      <w:r>
        <w:rPr>
          <w:lang w:val="sr-Latn-RS"/>
        </w:rPr>
        <w:t>Tabela 7 odnosi se na dečije mišljenje o njihovim okolnostima to jest kombinovanju škole i posla ili odabiranju jednog ili drugog. Mnoga deca nisu shvatala školu i posao kao alternativu, smatraju da je školovanje poželjno, ali da  je posao neophodan. Posao im obezbeđuje prihode za zadovoljavanje osnovnih potreba, svojih i svoje porodice, a u više slučajeva omogućava da se priušte i dodatni troškovi pohađanja škole. Ukratko, ‘posao i škola’ je izbor većine u svim lokalnim istraživanjima. Mladi iz ovih grupa razmišljaju o svojim okolnostima i razmatraju koje su im opcije na raspolaganju. Velika većina ceni priliku da se školuju, ali to ne vide kao alternativu u odnosu na posao – u njihovim trenutnim okolnostima.</w:t>
      </w:r>
    </w:p>
    <w:p w14:paraId="557C6234">
      <w:pPr>
        <w:jc w:val="both"/>
        <w:rPr>
          <w:b/>
          <w:bCs/>
          <w:i/>
          <w:iCs/>
          <w:sz w:val="28"/>
          <w:szCs w:val="28"/>
          <w:lang w:val="sr-Latn-RS"/>
        </w:rPr>
      </w:pPr>
      <w:r>
        <w:rPr>
          <w:b/>
          <w:bCs/>
          <w:sz w:val="28"/>
          <w:szCs w:val="28"/>
          <w:lang w:val="sr-Latn-RS"/>
        </w:rPr>
        <w:t xml:space="preserve">Dvadeset četvrti slajd – </w:t>
      </w:r>
      <w:r>
        <w:rPr>
          <w:b/>
          <w:bCs/>
          <w:i/>
          <w:iCs/>
          <w:sz w:val="28"/>
          <w:szCs w:val="28"/>
          <w:lang w:val="sr-Latn-RS"/>
        </w:rPr>
        <w:t>Zaključak</w:t>
      </w:r>
    </w:p>
    <w:p w14:paraId="5EA94C69">
      <w:pPr>
        <w:jc w:val="both"/>
        <w:rPr>
          <w:b/>
          <w:bCs/>
          <w:i/>
          <w:iCs/>
          <w:sz w:val="28"/>
          <w:szCs w:val="28"/>
          <w:lang w:val="sr-Latn-RS"/>
        </w:rPr>
      </w:pPr>
    </w:p>
    <w:p w14:paraId="1619B0EE">
      <w:pPr>
        <w:jc w:val="both"/>
        <w:rPr>
          <w:lang w:val="sr-Latn-RS"/>
        </w:rPr>
      </w:pPr>
      <w:r>
        <w:rPr>
          <w:lang w:val="sr-Latn-RS"/>
        </w:rPr>
        <w:t xml:space="preserve">Bitno je da ukažemo da proučavanje perspektive dece nije zamena za konvencionalno evaluativno istraživanje. Perspektive dece pružaju nam neophodnu, dodatnu perspektivu na ove procese, sa dečije tačke gledišta. Deca u većini slučajeva svoj posao shvataju kao neizbežan i neophodan deo odrastanja, kao pomaganje svojoj porodici i unapređenje svojih budućih izgleda. Ovim istraživanjem je istaknuto da mnoga deca imaju razvijenu procenu mnogih opasnosti svog posla kao i njegovih prednosti, takođe shvataju potencijalnu vrednost obrazovanja. </w:t>
      </w:r>
    </w:p>
    <w:p w14:paraId="72A545C4">
      <w:pPr>
        <w:jc w:val="both"/>
        <w:rPr>
          <w:lang w:val="sr-Latn-RS"/>
        </w:rPr>
      </w:pPr>
      <w:r>
        <w:rPr>
          <w:lang w:val="sr-Latn-RS"/>
        </w:rPr>
        <w:t>Jedna od tema koja se ponavlja u dečijim prikazima njihovog radnog života je značaj održavanja društvenih odnosa i samopoštovanje. Deca govore o tome kako se ponose onim što rade, a govore i o osećaju postiđenosti postupanjem drugih prema njima.</w:t>
      </w:r>
    </w:p>
    <w:p w14:paraId="2C739F65">
      <w:pPr>
        <w:jc w:val="both"/>
        <w:rPr>
          <w:lang w:val="sr-Latn-RS"/>
        </w:rPr>
      </w:pPr>
      <w:r>
        <w:rPr>
          <w:lang w:val="sr-Latn-RS"/>
        </w:rPr>
        <w:t>Ovaj članak tiče se detinjstva današnjice - perspektive zaposlene dece čiji je razvoj (u pogledu umeća, društvenih mreža, samopoštovanja i identiteta) ugrađen u njihov radni život. Autor zaključuje da je u borbi protiv dečijeg rada neophodno saslušati upravo one kojih se taj problem najviše tiče, samu decu.</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ED2384"/>
    <w:multiLevelType w:val="multilevel"/>
    <w:tmpl w:val="00ED23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F881262"/>
    <w:multiLevelType w:val="multilevel"/>
    <w:tmpl w:val="3F88126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3"/>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19F"/>
    <w:rsid w:val="000069A8"/>
    <w:rsid w:val="00021EDC"/>
    <w:rsid w:val="00046728"/>
    <w:rsid w:val="0007573C"/>
    <w:rsid w:val="000A0ACB"/>
    <w:rsid w:val="001041EE"/>
    <w:rsid w:val="00134968"/>
    <w:rsid w:val="001A4E7E"/>
    <w:rsid w:val="001B4BDD"/>
    <w:rsid w:val="001E2DC6"/>
    <w:rsid w:val="001F6CF4"/>
    <w:rsid w:val="00210802"/>
    <w:rsid w:val="00235DA9"/>
    <w:rsid w:val="00241AD9"/>
    <w:rsid w:val="003211C1"/>
    <w:rsid w:val="0036583B"/>
    <w:rsid w:val="00371ACE"/>
    <w:rsid w:val="00394026"/>
    <w:rsid w:val="003C6EBD"/>
    <w:rsid w:val="003D7EEC"/>
    <w:rsid w:val="003E0D05"/>
    <w:rsid w:val="00427993"/>
    <w:rsid w:val="004F1C38"/>
    <w:rsid w:val="0053081B"/>
    <w:rsid w:val="005478FB"/>
    <w:rsid w:val="005872FF"/>
    <w:rsid w:val="00597FB6"/>
    <w:rsid w:val="005A0C4B"/>
    <w:rsid w:val="00622FB3"/>
    <w:rsid w:val="00644E9F"/>
    <w:rsid w:val="00664CDD"/>
    <w:rsid w:val="00687891"/>
    <w:rsid w:val="006E2366"/>
    <w:rsid w:val="00773F9E"/>
    <w:rsid w:val="008969F6"/>
    <w:rsid w:val="008A1652"/>
    <w:rsid w:val="008A1A29"/>
    <w:rsid w:val="009B1CE7"/>
    <w:rsid w:val="009C1553"/>
    <w:rsid w:val="009D66DE"/>
    <w:rsid w:val="009E4633"/>
    <w:rsid w:val="00A33963"/>
    <w:rsid w:val="00A35996"/>
    <w:rsid w:val="00A50811"/>
    <w:rsid w:val="00B038D6"/>
    <w:rsid w:val="00B912E9"/>
    <w:rsid w:val="00BC47CD"/>
    <w:rsid w:val="00BE2D19"/>
    <w:rsid w:val="00C53BC3"/>
    <w:rsid w:val="00C53C8C"/>
    <w:rsid w:val="00C7319F"/>
    <w:rsid w:val="00D42FDB"/>
    <w:rsid w:val="00D721B6"/>
    <w:rsid w:val="00E84EBF"/>
    <w:rsid w:val="00E8572C"/>
    <w:rsid w:val="00EF258F"/>
    <w:rsid w:val="00F81CF4"/>
    <w:rsid w:val="62B14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Naslov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6">
    <w:name w:val="Naslov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7">
    <w:name w:val="Naslov 3 Char"/>
    <w:basedOn w:val="11"/>
    <w:link w:val="4"/>
    <w:semiHidden/>
    <w:uiPriority w:val="9"/>
    <w:rPr>
      <w:rFonts w:eastAsiaTheme="majorEastAsia" w:cstheme="majorBidi"/>
      <w:color w:val="104862" w:themeColor="accent1" w:themeShade="BF"/>
      <w:sz w:val="28"/>
      <w:szCs w:val="28"/>
    </w:rPr>
  </w:style>
  <w:style w:type="character" w:customStyle="1" w:styleId="18">
    <w:name w:val="Naslov 4 Char"/>
    <w:basedOn w:val="11"/>
    <w:link w:val="5"/>
    <w:semiHidden/>
    <w:uiPriority w:val="9"/>
    <w:rPr>
      <w:rFonts w:eastAsiaTheme="majorEastAsia" w:cstheme="majorBidi"/>
      <w:i/>
      <w:iCs/>
      <w:color w:val="104862" w:themeColor="accent1" w:themeShade="BF"/>
    </w:rPr>
  </w:style>
  <w:style w:type="character" w:customStyle="1" w:styleId="19">
    <w:name w:val="Naslov 5 Char"/>
    <w:basedOn w:val="11"/>
    <w:link w:val="6"/>
    <w:semiHidden/>
    <w:qFormat/>
    <w:uiPriority w:val="9"/>
    <w:rPr>
      <w:rFonts w:eastAsiaTheme="majorEastAsia" w:cstheme="majorBidi"/>
      <w:color w:val="104862" w:themeColor="accent1" w:themeShade="BF"/>
    </w:rPr>
  </w:style>
  <w:style w:type="character" w:customStyle="1" w:styleId="20">
    <w:name w:val="Naslov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Naslov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Naslov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Naslov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Naslov Char"/>
    <w:basedOn w:val="11"/>
    <w:link w:val="14"/>
    <w:uiPriority w:val="10"/>
    <w:rPr>
      <w:rFonts w:asciiTheme="majorHAnsi" w:hAnsiTheme="majorHAnsi" w:eastAsiaTheme="majorEastAsia" w:cstheme="majorBidi"/>
      <w:spacing w:val="-10"/>
      <w:kern w:val="28"/>
      <w:sz w:val="56"/>
      <w:szCs w:val="56"/>
    </w:rPr>
  </w:style>
  <w:style w:type="character" w:customStyle="1" w:styleId="25">
    <w:name w:val="Podnaslov Char"/>
    <w:basedOn w:val="11"/>
    <w:link w:val="1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Navođenje Char"/>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Podebljani navodnici Char"/>
    <w:basedOn w:val="11"/>
    <w:link w:val="30"/>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8</Pages>
  <Words>1724</Words>
  <Characters>9832</Characters>
  <Lines>81</Lines>
  <Paragraphs>23</Paragraphs>
  <TotalTime>0</TotalTime>
  <ScaleCrop>false</ScaleCrop>
  <LinksUpToDate>false</LinksUpToDate>
  <CharactersWithSpaces>11533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2026-04-19T13:35:00Z</dcterms:created>
  <dc:creator>Saša Šolić</dc:creator>
  <cp:lastModifiedBy>Dell</cp:lastModifiedBy>
  <dcterms:modified xsi:type="dcterms:W3CDTF">2026-04-20T09:01:24Z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2A0C176380834B6D874F522C14A8E723_13</vt:lpwstr>
  </property>
</Properties>
</file>