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center"/>
        <w:rPr>
          <w:rFonts w:ascii="Times New Roman" w:hAnsi="Times New Roman" w:eastAsia="Times New Roman" w:cs="Times New Roman"/>
          <w:sz w:val="30"/>
          <w:szCs w:val="30"/>
        </w:rPr>
      </w:pPr>
      <w:bookmarkStart w:id="0" w:name="_GoBack"/>
      <w:bookmarkEnd w:id="0"/>
      <w:r>
        <w:rPr>
          <w:rFonts w:ascii="Times New Roman" w:hAnsi="Times New Roman" w:eastAsia="Times New Roman" w:cs="Times New Roman"/>
          <w:sz w:val="30"/>
          <w:szCs w:val="30"/>
          <w:rtl w:val="0"/>
        </w:rPr>
        <w:t>Siromaštvo dece u Srbiji</w:t>
      </w:r>
    </w:p>
    <w:p w14:paraId="00000002">
      <w:pPr>
        <w:jc w:val="center"/>
      </w:pPr>
    </w:p>
    <w:p w14:paraId="00000003">
      <w:pPr>
        <w:spacing w:line="276" w:lineRule="auto"/>
        <w:jc w:val="both"/>
        <w:rPr>
          <w:rFonts w:ascii="Times New Roman" w:hAnsi="Times New Roman" w:eastAsia="Times New Roman" w:cs="Times New Roman"/>
          <w:sz w:val="24"/>
          <w:szCs w:val="24"/>
        </w:rPr>
      </w:pPr>
    </w:p>
    <w:p w14:paraId="00000004">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Slajd1:</w:t>
      </w:r>
    </w:p>
    <w:p w14:paraId="00000005">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Krajem 2002. godine Vlada Republike Srbije pokrenula je izradu Strategije za smanjenje siromaštva, oslanjajući se na preporuke Svetske banke i rezultate Nacionalnog istraživanja životnog standarda, sprovedenog na uzorku od oko 7.000 domaćinstava. U izradi Strategije značajnu ulogu imali su predstavnici civilnog društva, koji su insistirali da se siromaštvo posmatra iz perspektive ljudskih prava, uz poseban fokus na najugroženije i marginalizovane grupe, poput Roma, osoba sa invaliditetom, mladih i samohranih roditelja. Strategija je usvojena 16. oktobra 2003. godine kao deo šireg razvojnog pravca Srbije ka evropskim integracijama. Njena primena započela je u januaru 2004. godine, za šta je odgovoran Kabinet predsednika Vlade, uz podršku civilnog društva, međunarodnih organizacija i drugih aktera, pri čemu je posebno naglašena uloga domaćih nevladinih organizacija i građana na lokalnom nivou u praćenju sprovođenja i raspodele sredstava.</w:t>
      </w:r>
    </w:p>
    <w:p w14:paraId="00000006">
      <w:pPr>
        <w:spacing w:line="276" w:lineRule="auto"/>
        <w:jc w:val="both"/>
        <w:rPr>
          <w:rFonts w:ascii="Times New Roman" w:hAnsi="Times New Roman" w:eastAsia="Times New Roman" w:cs="Times New Roman"/>
          <w:sz w:val="24"/>
          <w:szCs w:val="24"/>
        </w:rPr>
      </w:pPr>
    </w:p>
    <w:p w14:paraId="00000007">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Slajd2:</w:t>
      </w:r>
    </w:p>
    <w:p w14:paraId="00000008">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Metodologija istraživanja UNICEF-a je obuhvatala kvalitativne tehnike poput razgovora sa roditeljima i decom kao i upitnik. Socio-demografski podaci su prikupljani za opštine koje su bile obuhvaćene istraživanjem i u njih su ulazili pol, uzrast, infrastruktura lokaliteta kao i podaci o marginalizovanim grupama i organizacijama koje su usmerene na decu. Sa organizacijama i državnim institucijama je obavljen polu-strukturiran intervju kako bi se saznalo više detalja o području istraživanja. Prilikom prikupljanja podataka primećena je veoma mala uloga nevladinih organizaciju što se prepisuje maloj razvijenosti njihov mreža u sklopu istraživanih opština ako ne i Srbiji. Status i profil porodice je prikupljen kroz upitnik koji je sproveden pre ili u toku intervjua sa porodicom i decom koji su predstavljali fokus grupu. Informacije dobijene su se ticale prihoda domaćinstva, potrošnje, udaljenosti institucija i životnim potrebama. </w:t>
      </w:r>
    </w:p>
    <w:p w14:paraId="00000009">
      <w:pPr>
        <w:jc w:val="both"/>
        <w:rPr>
          <w:rFonts w:ascii="Times New Roman" w:hAnsi="Times New Roman" w:eastAsia="Times New Roman" w:cs="Times New Roman"/>
          <w:sz w:val="24"/>
          <w:szCs w:val="24"/>
        </w:rPr>
      </w:pPr>
    </w:p>
    <w:p w14:paraId="0000000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Slajd3 i slajd4:</w:t>
      </w:r>
    </w:p>
    <w:p w14:paraId="0000000B">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Glavna četiri pitanja iliti teme su kako se manifestuje siromaštvo, koji su uzroci, kako se nositi sa siromaštvom i koji su predlozi za njihovo rešenje. Fokus grupe su sličnih socio-demogarfskih osobina i iskustva koje se odnosi na konkretnu temu. Pri radu sa fokus grupom primenjene su različite participativne tehnike koje su omogućile različiti pristup prilagođen varijabilitetu članova iste grupe. Realizovano je 75 fokus grupa dece i 24 fokus grupe odraslih. Istraživači su doživeli iznenađenje jer je odziv i volja za učestvovanjem dece i roditelja bila ogromna. Po popisu iz 2002. godine u predškolskom uzrastu (do 7 godina) ima 574.000 stanovnika ili svega 7,7% ukupne populacije, dok je učešće dece predškolskog uzrasta u domaćinstvima u istraživanju 13,4%. Uzrast dece između 8 i 15 godina je bio najzastupljeniji i predstavljali su 26.1% uzorka. </w:t>
      </w:r>
    </w:p>
    <w:p w14:paraId="0000000C">
      <w:pPr>
        <w:jc w:val="both"/>
        <w:rPr>
          <w:rFonts w:ascii="Times New Roman" w:hAnsi="Times New Roman" w:eastAsia="Times New Roman" w:cs="Times New Roman"/>
          <w:sz w:val="24"/>
          <w:szCs w:val="24"/>
        </w:rPr>
      </w:pPr>
    </w:p>
    <w:p w14:paraId="0000000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Slajd5:</w:t>
      </w:r>
    </w:p>
    <w:p w14:paraId="0000000E">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Dobijeni rezultati se ne mogu uopštavati usred primene kvalitativnih metoda i nereprezantativne grupe ali predstavljaju inspiraciju za dalja istraživanja i skreću paznju na tešku poziciju u kojoj se nalaze ispitivane grupe. Koncept siromaštva je u sklopu fokus gruba jednoličan ali do izražaja dolaze različite varijante deprivacije poput obrazovne, kulturne, materijalne ,geografske i socijalne. Opština Krupanj i Sjenica ima izraženu geografsku deprivaciju usred lokacije i nepovezanosti sa institucijama. U više etničkim sredinama poput Sjenice i Bujanovca deca su najviše diskriminacije doživela u školama i zdravstvenim ustanovama. Deca sagledavaju siromaštvo u zavisnosti od uzrasta. Mlađa deca ga doživljavaju kao manjak knjiga i igračaka dok starija deca već razvijaju percepciju o manama tj. nedostacima u institucijama. Siromaštvo samim time ugrožava i dečija prava na obrazovanje, slobodno vreme, igru, kulturni život o donošenje sopstvenih odluka. Primetno je da su i deca i roditelji usmereni na sredstva koja su im uskraćena ali da nemaju razvijenu svest o pravima koja su im oduzeta. </w:t>
      </w:r>
    </w:p>
    <w:p w14:paraId="0000000F">
      <w:pPr>
        <w:spacing w:line="276" w:lineRule="auto"/>
        <w:jc w:val="both"/>
        <w:rPr>
          <w:rFonts w:ascii="Times New Roman" w:hAnsi="Times New Roman" w:eastAsia="Times New Roman" w:cs="Times New Roman"/>
          <w:sz w:val="24"/>
          <w:szCs w:val="24"/>
        </w:rPr>
      </w:pPr>
    </w:p>
    <w:p w14:paraId="00000010">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Slajd6:</w:t>
      </w:r>
    </w:p>
    <w:p w14:paraId="00000011">
      <w:pPr>
        <w:spacing w:line="276" w:lineRule="auto"/>
        <w:jc w:val="both"/>
        <w:rPr>
          <w:rFonts w:ascii="Times New Roman" w:hAnsi="Times New Roman" w:eastAsia="Times New Roman" w:cs="Times New Roman"/>
          <w:i/>
          <w:iCs/>
          <w:color w:val="FF0000"/>
          <w:sz w:val="24"/>
          <w:szCs w:val="24"/>
        </w:rPr>
      </w:pPr>
      <w:r>
        <w:rPr>
          <w:rFonts w:ascii="Times New Roman" w:hAnsi="Times New Roman" w:eastAsia="Times New Roman" w:cs="Times New Roman"/>
          <w:i/>
          <w:iCs/>
          <w:color w:val="FF0000"/>
          <w:sz w:val="24"/>
          <w:szCs w:val="24"/>
          <w:rtl w:val="0"/>
        </w:rPr>
        <w:t>Šta kaže KONVENCIJA O PRAVIMA DETETA: Član 28. Pravo na obrazovanje podrazumeva: Učiniti osnovno obrazovanje obaveznim i besplatnim za sve Podsticati razvoj različitih oblika srednjeg obrazovanja, uključujući opšte i stručno obrazovanje, koje bi bilo na raspolaganju i dostupno svakom detetu, i preduzimati pogodne mere kao što su uvođenje besplatnog obrazovanja i pružanje finansijske pomoći kada je to potrebno Omogućiti, svim odgovarajućim sredstvima, da više obrazovanje bude dostupno svima u skladu sa sposobnostima Omogućiti da obrazovne iIi stručne informacije i saveti budu dostupni svoj deci Preduzimati mere za obezbeđenje redovnog pohađanja škole i smanjenje stope napuštanja škole</w:t>
      </w:r>
    </w:p>
    <w:p w14:paraId="00000012">
      <w:pPr>
        <w:spacing w:line="276" w:lineRule="auto"/>
        <w:jc w:val="both"/>
        <w:rPr>
          <w:rFonts w:ascii="Times New Roman" w:hAnsi="Times New Roman" w:eastAsia="Times New Roman" w:cs="Times New Roman"/>
          <w:sz w:val="24"/>
          <w:szCs w:val="24"/>
        </w:rPr>
      </w:pPr>
    </w:p>
    <w:p w14:paraId="00000013">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Slajd7:</w:t>
      </w:r>
    </w:p>
    <w:p w14:paraId="00000014">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Obrazovna deprivacija je proizvod mnogih faktora. Jedan od njih je udaljenost obrazovnih ustanova i nedovoljno razvijena infrastruktura koja omogućava dolazak do njih. deca su primorana da putuju do centralnih opština i većih gradova iz seoskih sredina ili nepristupačnih delova grada. Deca takođe izražavaju stav da ne vole da koriste gradski prevoz ako postoji jer odrasli koji ga takođe koriste ne brinu o njima.  Rešenje koje deca predlažu je postojanje školskih autobusa koji bi ograničavali kontakt sa odraslim putnicima. Drug faktor obrazovne deprivacije ne kako roditelji navode trošak obrazovanja i njihova nedovoljna obrazovanost da pomognu svojoj deći u učenju. Deca glavne probleme vide i u manjku knjiga i pribora za učenje kao i neadekvatne stambene uslove poput života više ljudi u skučenom prostoru što ometa koncentraciju pri učenju. Deca su svesna manjka svojih nemogućnosti tako da sebi kao rešenje navode odlazak u veći grad ili inostranstvo. Osećaj propuštanja socijalizacije na ekskurzijama ih takođe emotivno povređuje kao i nevoljnost i nervoza nastavnika koji im predaju. Srednjoškolci navode manjak poštovanja od strane odraslih i manjak inicijative među prosvetom. Zaključak: obrazovna deprivacija onemogućava pravo na obrazovanje, neobrazovanost roditelja utiče na obrazovanje dece, smanjen pristup obrazovanju utiče na migracije i seosko stanovništvo je podložnije obrazovnoj deprivaciji. </w:t>
      </w:r>
    </w:p>
    <w:p w14:paraId="00000015">
      <w:pPr>
        <w:spacing w:line="276" w:lineRule="auto"/>
        <w:jc w:val="both"/>
        <w:rPr>
          <w:rFonts w:ascii="Times New Roman" w:hAnsi="Times New Roman" w:eastAsia="Times New Roman" w:cs="Times New Roman"/>
          <w:sz w:val="24"/>
          <w:szCs w:val="24"/>
        </w:rPr>
      </w:pPr>
    </w:p>
    <w:p w14:paraId="00000016">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Slajd8:</w:t>
      </w:r>
    </w:p>
    <w:p w14:paraId="00000017">
      <w:pPr>
        <w:spacing w:line="276" w:lineRule="auto"/>
        <w:jc w:val="both"/>
        <w:rPr>
          <w:rFonts w:ascii="Times New Roman" w:hAnsi="Times New Roman" w:eastAsia="Times New Roman" w:cs="Times New Roman"/>
          <w:i/>
          <w:iCs/>
          <w:color w:val="FF0000"/>
          <w:sz w:val="24"/>
          <w:szCs w:val="24"/>
        </w:rPr>
      </w:pPr>
      <w:r>
        <w:rPr>
          <w:rFonts w:ascii="Times New Roman" w:hAnsi="Times New Roman" w:eastAsia="Times New Roman" w:cs="Times New Roman"/>
          <w:i/>
          <w:iCs/>
          <w:color w:val="FF0000"/>
          <w:sz w:val="24"/>
          <w:szCs w:val="24"/>
          <w:rtl w:val="0"/>
        </w:rPr>
        <w:t>Šta kaže KONVENCIJA O PRAVIMA DETETA: Član 31. Pravo deteta na odmor i slobodno vreme, na učešće u igri i rekreativnim aktivnostima koje odgovaraju uzrastu deteta i na slobodno učešće u kulturnom životu i umetnosti.</w:t>
      </w:r>
    </w:p>
    <w:p w14:paraId="00000018">
      <w:pPr>
        <w:spacing w:line="276" w:lineRule="auto"/>
        <w:jc w:val="both"/>
        <w:rPr>
          <w:rFonts w:ascii="Times New Roman" w:hAnsi="Times New Roman" w:eastAsia="Times New Roman" w:cs="Times New Roman"/>
          <w:sz w:val="24"/>
          <w:szCs w:val="24"/>
        </w:rPr>
      </w:pPr>
    </w:p>
    <w:p w14:paraId="00000019">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Slajd9:</w:t>
      </w:r>
    </w:p>
    <w:p w14:paraId="0000001A">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Kulturna depravacija se izražava kroz manjak institucija koje priređuju kulturni sadržaj ali i kroz skupocenost kulturnog sadržaja. U većini lokaliteta nema bioskopa, biblioteka i muzeja. Tamo gde ih ima sadržaj je star i jednoličan. Pozorišta ukoliko postoje, sadrže amaterske priredbe. Bioskopi su često preskupi tako da se deca, pogotovo srednjoškolska usmeravaju na kafiće ili isprobavanju narkotika koji vremenom vode zavisnosti. sadržaj u školama nije prilagođen potrebama đaka. Nastavnici su nezadovoljni nezainteresovanošću đaka  a dok su deca nezadovoljna sadržajem koji je priređen. deca takođe usred materijalne uskraćenosti i preuzimanja obaveza u domu i izvan njega gube na dečijem periodu života i bivaju smeštene sve ranije u poziciju odraslih. </w:t>
      </w:r>
    </w:p>
    <w:p w14:paraId="0000001B">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Neke izjave istraživača:</w:t>
      </w:r>
    </w:p>
    <w:p w14:paraId="0000001C">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“Kada smo decu pitali kako bi želeli da bude za pet godina, nastao je muk, a onda su počele da se kao njihove želje ređaju zapravo potrebe njihovih roditelja. Bilo je gotovo nemoguće doći do želja i potreba deteta. Deca teško i izmeštaju neku želju. To me je sledilo. To saznanje je bilo užasno bolno.”</w:t>
      </w:r>
    </w:p>
    <w:p w14:paraId="0000001D">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“Potreslo me je kad sam shvatila da deca nemaju svoje dečije želje, već artikulišu mišljenja roditelja.”</w:t>
      </w:r>
    </w:p>
    <w:p w14:paraId="0000001E">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Zaključak: kulturna deprivacija izraženija na selu, starija deca su svesna kulturne deprivacije, rešenja su minimalna u vidu bioskopa, pozorišta itd.</w:t>
      </w:r>
    </w:p>
    <w:p w14:paraId="0000001F">
      <w:pPr>
        <w:spacing w:line="276" w:lineRule="auto"/>
        <w:jc w:val="both"/>
        <w:rPr>
          <w:rFonts w:ascii="Times New Roman" w:hAnsi="Times New Roman" w:eastAsia="Times New Roman" w:cs="Times New Roman"/>
          <w:sz w:val="24"/>
          <w:szCs w:val="24"/>
        </w:rPr>
      </w:pPr>
    </w:p>
    <w:p w14:paraId="00000020">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Slajd10:</w:t>
      </w:r>
    </w:p>
    <w:p w14:paraId="00000021">
      <w:pPr>
        <w:spacing w:line="276" w:lineRule="auto"/>
        <w:jc w:val="both"/>
        <w:rPr>
          <w:rFonts w:ascii="Times New Roman" w:hAnsi="Times New Roman" w:eastAsia="Times New Roman" w:cs="Times New Roman"/>
          <w:i/>
          <w:iCs/>
          <w:color w:val="FF0000"/>
          <w:sz w:val="24"/>
          <w:szCs w:val="24"/>
        </w:rPr>
      </w:pPr>
      <w:r>
        <w:rPr>
          <w:rFonts w:ascii="Times New Roman" w:hAnsi="Times New Roman" w:eastAsia="Times New Roman" w:cs="Times New Roman"/>
          <w:i/>
          <w:iCs/>
          <w:color w:val="FF0000"/>
          <w:sz w:val="24"/>
          <w:szCs w:val="24"/>
          <w:rtl w:val="0"/>
        </w:rPr>
        <w:t>Šta kaže KONVENCIJA O PRAVIMA DETETA: Član 24. Svako dete ima pravo na uživanje najvišeg ostvarivog zdravstvenog standarda i na kapacitete za lečenje i zdravstvenu rehabilitaciju. Nijedno dete ne sme da bude lišeno prava na pristup uslugama zdravstvene zaštite.</w:t>
      </w:r>
    </w:p>
    <w:p w14:paraId="00000022">
      <w:pPr>
        <w:spacing w:line="276" w:lineRule="auto"/>
        <w:jc w:val="both"/>
        <w:rPr>
          <w:rFonts w:ascii="Times New Roman" w:hAnsi="Times New Roman" w:eastAsia="Times New Roman" w:cs="Times New Roman"/>
          <w:sz w:val="24"/>
          <w:szCs w:val="24"/>
        </w:rPr>
      </w:pPr>
    </w:p>
    <w:p w14:paraId="00000023">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Slajd11:</w:t>
      </w:r>
    </w:p>
    <w:p w14:paraId="00000024">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Usmerenost u zdravstvenom kontekstu je na mreži zdravstvenih institucija, prirodni priraštaj i smrtnosti odojčadi.  zajedničko za sve ispitivane lokalitete je da nemaju razvijenu mrežu zdravstvenih ustanova i da je ogroman manjak seoskih ambulanti. Opet kao izražena prepreka zdravstvu je udaljenost od institucija i manjak doktorskog kadra koji je voljan da radi u manjim seoskim ambulantama. Sve opštine poseduju dom zdravlja ali je put do njega dug je često otežan u slučaju nevremena. </w:t>
      </w:r>
    </w:p>
    <w:p w14:paraId="0000002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“Vikendom nema doktora (u selu uopšte), ne radi apoteka; pedijatar dolazi jednom nedeljno.” </w:t>
      </w:r>
    </w:p>
    <w:p w14:paraId="0000002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Snabdevenost apoteka na selu, čija je pojava zaista retka, je veoma mala tako da put do grada za lekove postaje neizbežan. Prosleđivanje deteta različitim nivoima zdravstvenih institucija  je takođe jedno od prepreka sa kojim se roditelji i deca susreću. Ispitanici su se žalili i na higijenu zdravstvenih ustanova i gužve koje su prisutne u opštinama sa više dece poput Sjenice, Bujanovca i Barajeva. </w:t>
      </w:r>
    </w:p>
    <w:p w14:paraId="0000002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“Kada odem kod lekara, oni ne brinu za mene, baš ih briga; više prave pauzu nego što rade. Kada predam knjižicu, moram puno da čekam da bi me prozvali.”</w:t>
      </w:r>
    </w:p>
    <w:p w14:paraId="00000028">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Istaknuta je neljubaznost prema deci. Neke od izjava:</w:t>
      </w:r>
    </w:p>
    <w:p w14:paraId="00000029">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“Moram da čekam lekara da svi završe, pa onda mi Cigani.” “Na zdravlje dece loše utiče bezobrazluk lekara, to je zato što mala deca prave probleme.”</w:t>
      </w:r>
    </w:p>
    <w:p w14:paraId="0000002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“Tamo je zabranjeno pušenje, a oni puše.” “Unutra puno smrdi, zagušljivo je i neki puše (lekari).”</w:t>
      </w:r>
    </w:p>
    <w:p w14:paraId="0000002B">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“Nema lekova za svakoga, a ima lekova preko veze.”</w:t>
      </w:r>
    </w:p>
    <w:p w14:paraId="0000002C">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Finansijski problemi dovode i do nedostatka novca za lekove kao i zdravstveno osiguranje. Diskriminacija prema romima je istaknuta. Kako često nemaju dokumenta poput zdravstvene knjižice a nemaju ni novca zdravstvena nega im je kompletno oduzeta. </w:t>
      </w:r>
    </w:p>
    <w:p w14:paraId="0000002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Izlaz iz tegobne svakodnevice roditelji nalaze ponekad u alkoholu, vrlo često u apatiji i potpunoj pasivnosti. Iz toga proizilaze mnogi sukobi koji vode agresiji i raspadu porodica:</w:t>
      </w:r>
    </w:p>
    <w:p w14:paraId="0000002E">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“Ima puno loši brakovi gde muž bije ženu, pa i decu.”</w:t>
      </w:r>
    </w:p>
    <w:p w14:paraId="0000002F">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“Kada se roditelji svađaju, ja odem u drugu sobu i isključim se.”</w:t>
      </w:r>
    </w:p>
    <w:p w14:paraId="00000030">
      <w:pPr>
        <w:spacing w:line="276" w:lineRule="auto"/>
        <w:jc w:val="both"/>
        <w:rPr>
          <w:rFonts w:ascii="Times New Roman" w:hAnsi="Times New Roman" w:eastAsia="Times New Roman" w:cs="Times New Roman"/>
          <w:sz w:val="24"/>
          <w:szCs w:val="24"/>
        </w:rPr>
      </w:pPr>
    </w:p>
    <w:p w14:paraId="00000031">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Slaj12:</w:t>
      </w:r>
    </w:p>
    <w:p w14:paraId="00000032">
      <w:pPr>
        <w:spacing w:line="276" w:lineRule="auto"/>
        <w:jc w:val="both"/>
        <w:rPr>
          <w:rFonts w:ascii="Times New Roman" w:hAnsi="Times New Roman" w:eastAsia="Times New Roman" w:cs="Times New Roman"/>
          <w:i/>
          <w:iCs/>
          <w:color w:val="FF0000"/>
          <w:sz w:val="24"/>
          <w:szCs w:val="24"/>
        </w:rPr>
      </w:pPr>
      <w:r>
        <w:rPr>
          <w:rFonts w:ascii="Times New Roman" w:hAnsi="Times New Roman" w:eastAsia="Times New Roman" w:cs="Times New Roman"/>
          <w:i/>
          <w:iCs/>
          <w:color w:val="FF0000"/>
          <w:sz w:val="24"/>
          <w:szCs w:val="24"/>
          <w:rtl w:val="0"/>
        </w:rPr>
        <w:t>Šta kaže KONVENCIJA O PRAVIMA DETETA: Član 27. Svako dete ima pravo na životni standard koji odgovara njegovom fizičkom, mentalnom, duhovnom, moralnom i socijalnom razvoju. Član 32. Pravo deteta da bude zaštićeno od ekonomskog iskorišćavanja i od obavljanja bilo kog posla koji bi mogao da bude opasan, koji bi ometao školovanje deteta ili bi bio štetan po zdravlje deteta ili za fizički, mentalni, duhovni, moralni ili društveni razvoj deteta.</w:t>
      </w:r>
    </w:p>
    <w:p w14:paraId="00000033">
      <w:pPr>
        <w:spacing w:line="276" w:lineRule="auto"/>
        <w:jc w:val="both"/>
        <w:rPr>
          <w:rFonts w:ascii="Times New Roman" w:hAnsi="Times New Roman" w:eastAsia="Times New Roman" w:cs="Times New Roman"/>
          <w:i/>
          <w:iCs/>
          <w:color w:val="FF0000"/>
          <w:sz w:val="24"/>
          <w:szCs w:val="24"/>
        </w:rPr>
      </w:pPr>
    </w:p>
    <w:p w14:paraId="00000034">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Slajd13:</w:t>
      </w:r>
    </w:p>
    <w:p w14:paraId="0000003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Materijalna deprivacija se manifestuje kroz manjak poslova za roditelje. Često su nezaposleni, rade part time ili su usmereni na sezonske poslove. Većina novca odlazi na račune i hranu tako da ne ostaje sredstava za razonodu i ostale potrebe. deca su često primorana da rade poslove po domaćinstvu sa svojim roditeljima, na pijacama i drugim poslovima poput sezonskih. Proizvod takve situacije je izostajanje iz škole kako bi se usmerili na materijalno preživljavanje. Usred materijalne nesigurnosti deca bivaju sputana u svojim snovima da putuju, da se obrazuju i da imaju odeću i obuću kao i priliku da se socijalizuju sa ostalim vršnjacima koji ih često odbacuju zbog neučestvovanja u organizovanim dešavanjima. deca su često i u lošim stambenim uslovima, u jednoj prostoriji sa ostalim ukućanima i nemaju svoju slobodu i privatnost.  </w:t>
      </w:r>
    </w:p>
    <w:p w14:paraId="0000003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“Svi smo u istoj sobi, a ako nećemo, onda mi je hladno.” “Nemam gde da učim i da se igram, nemam gde da pozovem drugove.”</w:t>
      </w:r>
    </w:p>
    <w:p w14:paraId="00000037">
      <w:pPr>
        <w:jc w:val="both"/>
        <w:rPr>
          <w:rFonts w:ascii="Times New Roman" w:hAnsi="Times New Roman" w:eastAsia="Times New Roman" w:cs="Times New Roman"/>
          <w:sz w:val="24"/>
          <w:szCs w:val="24"/>
        </w:rPr>
      </w:pPr>
    </w:p>
    <w:p w14:paraId="00000038">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Slajd14:</w:t>
      </w:r>
    </w:p>
    <w:p w14:paraId="00000039">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Geografska izolovanost jednog mesta uzrokuje da većina stanovnika radi u obližnjim gradovima, što decu gotovo po ceo dan ostavlja samu, prepuštenu samoj sebi, te vodi zapuštenosti u vaspitnom smislu, osećaju o nezainteresovanosti roditelja, usamljenosti. Suština je da izolovanost mesta (bilo sela ili manjih gradova) primorava roditelje da rade u većim urbanim centrima. Zbog toga su često odsutni od kuće, pa deca provode veliki deo dana sama. To može dovesti do zapuštenosti u vaspitnom smislu, osećaja da roditelji nisu zainteresovani za njih, kao i do usamljenosti. Izjave poput „Brdo je i kada padne sneg, ništa ne prolazi“ i „Roditelji su odsutni i putuju na posao u grad“ dodatno oslikavaju svakodnevne prepreke i udaljenost od osnovnih resursa. Važno je što tekst naglašava da ovaj problem više nije ograničen samo na nepristupačna sela. On se javlja i u manjim gradovima koji su izolovani od ekonomskih, političkih i institucionalnih centara. Primer Barajeva pokazuje da čak i formalna pripadnost velikom gradu ne znači i stvarnu uključenost – stanovnici se mogu osećati zapostavljeno i isključeno.</w:t>
      </w:r>
    </w:p>
    <w:p w14:paraId="0000003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Ovakve okolnosti imaju šire posledice: dolazi do starenja lokalnog stanovništva, jer mladi odlaze u potrazi za boljim prilikama, često i u inostranstvo. Istovremeno, veliki gradovi postaju prenatrpani zbog stalnog priliva ljudi.</w:t>
      </w:r>
    </w:p>
    <w:p w14:paraId="0000003B">
      <w:pPr>
        <w:jc w:val="both"/>
        <w:rPr>
          <w:rFonts w:ascii="Times New Roman" w:hAnsi="Times New Roman" w:eastAsia="Times New Roman" w:cs="Times New Roman"/>
          <w:sz w:val="24"/>
          <w:szCs w:val="24"/>
        </w:rPr>
      </w:pPr>
    </w:p>
    <w:p w14:paraId="0000003C">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Slajd15:</w:t>
      </w:r>
    </w:p>
    <w:p w14:paraId="0000003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Ona se javlja kod dece iz udaljenih sela i prigradskih naselja zbog fizičke izolovanosti, jer iako se sa vršnjacima viđaju u školi, nemaju mogućnost druženja van nje, što vremenom dovodi do prekida prijateljstava. U gradovima se socijalna isključenost ispoljava kroz ekonomske i socijalne razlike, gde deca primećuju da se razlikuju po odeći, uslovima života i mogućnostima, pa se povlače i gube inicijativu za druženje, dodatno ograničenu siromaštvom i obavezama u porodici. Posebno su pogođena romska deca, deca iz izbegličkih porodica i deca sa invaliditetom, koja se suočavaju sa diskriminacijom, odbacivanjem i uvredama, pri čemu važnu ulogu imaju i odrasli, jer često ne reaguju ili čak podstiču takvo ponašanje, što dodatno produbljuje njihovu izolaciju i otežava socijalni razvoj.</w:t>
      </w:r>
    </w:p>
    <w:p w14:paraId="0000003E">
      <w:pPr>
        <w:jc w:val="both"/>
        <w:rPr>
          <w:rFonts w:ascii="Times New Roman" w:hAnsi="Times New Roman" w:eastAsia="Times New Roman" w:cs="Times New Roman"/>
          <w:sz w:val="24"/>
          <w:szCs w:val="24"/>
        </w:rPr>
      </w:pPr>
    </w:p>
    <w:p w14:paraId="0000003F">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Slajd16:</w:t>
      </w:r>
    </w:p>
    <w:p w14:paraId="00000040">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Istraživanje je omogućilo deci da na autentičan način izraze sopstvena iskustva i svakodnevicu, ukazujući na nedostatak osnovnih stvari poput igračaka, vremena za igru, roditeljske prisutnosti, prijateljstava i prihvaćenosti među vršnjacima. Njihovi komentari pokazuju koliko retko imaju priliku da budu saslušana i koliko su svesna da se njihov glas uglavnom ne uvažava. Efikasno smanjenje siromaštva zahteva uključivanje svih relevantnih aktera: dece, roditelja, institucija i organizacija na lokalnom i širem nivou, kao i razvoj mehanizama koji će omogućiti aktivnije učešće zajednice. Participativni pristup u istraživanjima pokazao se kao veoma koristan jer doprinosi osnaživanju učesnika, povećava njihovu motivaciju i omogućava dublje razumevanje problema, iako zahteva više vremena i menja tradicionalnu ulogu stručnjaka. Zaključak jeste da se siromaštvo ne može smanjiti bez osnaživanja najsiromašnijih i bez uvođenja pristupa zasnovanog na ljudskim pravima i da predstavlja odgovornost svih nas.</w:t>
      </w:r>
    </w:p>
    <w:p w14:paraId="00000041">
      <w:pPr>
        <w:spacing w:line="276" w:lineRule="auto"/>
        <w:jc w:val="both"/>
        <w:rPr>
          <w:rFonts w:ascii="Times New Roman" w:hAnsi="Times New Roman" w:eastAsia="Times New Roman" w:cs="Times New Roman"/>
          <w:sz w:val="24"/>
          <w:szCs w:val="24"/>
        </w:rPr>
      </w:pPr>
    </w:p>
    <w:sectPr>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embedRegular r:id="rId1" w:fontKey="{CF4894F9-F2B8-426B-96C3-7162B64E152A}"/>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F5B0F11F-29BE-466C-94A9-1892814D2D52}"/>
  </w:font>
  <w:font w:name="Wingdings">
    <w:panose1 w:val="05000000000000000000"/>
    <w:charset w:val="02"/>
    <w:family w:val="auto"/>
    <w:pitch w:val="default"/>
    <w:sig w:usb0="00000000" w:usb1="00000000" w:usb2="00000000" w:usb3="00000000" w:csb0="80000000" w:csb1="00000000"/>
    <w:embedRegular r:id="rId3" w:fontKey="{6EAF162D-16FF-4C97-9383-244AD99808EA}"/>
  </w:font>
  <w:font w:name="Calibri">
    <w:panose1 w:val="020F0502020204030204"/>
    <w:charset w:val="00"/>
    <w:family w:val="swiss"/>
    <w:pitch w:val="default"/>
    <w:sig w:usb0="E4002EFF" w:usb1="C000247B" w:usb2="00000009" w:usb3="00000000" w:csb0="200001FF" w:csb1="00000000"/>
    <w:embedRegular r:id="rId4" w:fontKey="{AC8E7AE4-608A-496E-A0E3-70E608654188}"/>
  </w:font>
  <w:font w:name="等线">
    <w:altName w:val="Microsoft YaHei"/>
    <w:panose1 w:val="00000000000000000000"/>
    <w:charset w:val="86"/>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3"/>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705509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sr"/>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iCs/>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uiPriority w:val="0"/>
    <w:pPr>
      <w:keepNext/>
      <w:keepLines/>
      <w:pageBreakBefore w:val="0"/>
      <w:spacing w:before="0" w:after="60"/>
    </w:pPr>
    <w:rPr>
      <w:sz w:val="52"/>
      <w:szCs w:val="52"/>
    </w:rPr>
  </w:style>
  <w:style w:type="table" w:customStyle="1" w:styleId="12">
    <w:name w:val="TableNormal"/>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6</Pages>
  <TotalTime>0</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2026-03-24T10:41:36Z</dcterms:created>
  <dc:creator>Dell</dc:creator>
  <cp:lastModifiedBy>Dell</cp:lastModifiedBy>
  <dcterms:modified xsi:type="dcterms:W3CDTF">2026-03-24T10:41:54Z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185CCFAE2D864FACA3B57B7FB1A27551_13</vt:lpwstr>
  </property>
</Properties>
</file>