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32BF5">
      <w:pPr>
        <w:spacing w:line="360" w:lineRule="auto"/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Ekonomske okolnosti dece iz deset zemalja</w:t>
      </w:r>
      <w:r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</w:rPr>
        <w:t>Stiven Kenedi, Piter Vajtford i Džonatan Bredšou</w:t>
      </w:r>
    </w:p>
    <w:p w14:paraId="7895B10A">
      <w:pPr>
        <w:spacing w:line="360" w:lineRule="auto"/>
        <w:jc w:val="both"/>
        <w:rPr>
          <w:rFonts w:ascii="Times New Roman" w:hAnsi="Times New Roman" w:cs="Times New Roman"/>
          <w:lang w:val="sr-Latn-RS"/>
        </w:rPr>
      </w:pPr>
    </w:p>
    <w:p w14:paraId="2B7187F9">
      <w:pPr>
        <w:spacing w:line="36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Prvi slajd- Ključne ideje</w:t>
      </w:r>
    </w:p>
    <w:p w14:paraId="1E54F410">
      <w:pPr>
        <w:pStyle w:val="6"/>
        <w:spacing w:line="360" w:lineRule="auto"/>
        <w:jc w:val="both"/>
      </w:pPr>
      <w:r>
        <w:t>U ovom radu se govori o ekonomskom položaju dece u razvijenim zemljama. Iako su ranije istraživanja bila fokusirana na siromaštvo dece u nerazvijenim zemljama, od 1980-ih godina raste zabrinutost za položaj dece i u bogatim državama.</w:t>
      </w:r>
    </w:p>
    <w:p w14:paraId="7E710ADA">
      <w:pPr>
        <w:pStyle w:val="6"/>
        <w:spacing w:line="360" w:lineRule="auto"/>
        <w:jc w:val="both"/>
        <w:rPr>
          <w:lang w:val="sr-Latn-RS"/>
        </w:rPr>
      </w:pPr>
      <w:r>
        <w:t>Istraživanja pokazuju da se u mnogim zemljama povećava broj dece koja žive u siromaštvu. Na primer, u Velikoj Britaniji</w:t>
      </w:r>
      <w:r>
        <w:rPr>
          <w:lang w:val="sr-Latn-RS"/>
        </w:rPr>
        <w:t xml:space="preserve">, </w:t>
      </w:r>
      <w:r>
        <w:t>Sjedinjenim Američkim Državama</w:t>
      </w:r>
      <w:r>
        <w:rPr>
          <w:lang w:val="sr-Latn-RS"/>
        </w:rPr>
        <w:t xml:space="preserve"> i Australiji</w:t>
      </w:r>
      <w:r>
        <w:t xml:space="preserve"> zabeležen je značajan porast siromaštva među decom, dok se istovremeno položaj starijih poboljšao.</w:t>
      </w:r>
      <w:r>
        <w:rPr>
          <w:lang w:val="sr-Latn-RS"/>
        </w:rPr>
        <w:t xml:space="preserve"> U Irskoj osobe sa decom su najugroženija društvena grupa od siromaštva.</w:t>
      </w:r>
    </w:p>
    <w:p w14:paraId="35B76500">
      <w:pPr>
        <w:pStyle w:val="6"/>
        <w:spacing w:line="360" w:lineRule="auto"/>
        <w:jc w:val="both"/>
      </w:pPr>
      <w:r>
        <w:t>Kao glavni uzroci ovih promena navode se porast nezaposlenosti, sve veći broj jednoroditeljskih porodica, kao i promene na tržištu rada. Takođe dolazi do povećanja razlika između bogatih i siromašnih porodica.</w:t>
      </w:r>
    </w:p>
    <w:p w14:paraId="2C1297C0">
      <w:pPr>
        <w:pStyle w:val="6"/>
        <w:spacing w:line="360" w:lineRule="auto"/>
        <w:jc w:val="both"/>
      </w:pPr>
      <w:r>
        <w:t>Ovakve promene mogu dovesti i do konflikta između generacija, jer se sve više resursa usmerava ka starijem stanovništvu.</w:t>
      </w:r>
    </w:p>
    <w:p w14:paraId="6E05EF9B">
      <w:pPr>
        <w:pStyle w:val="6"/>
        <w:spacing w:line="360" w:lineRule="auto"/>
        <w:jc w:val="both"/>
      </w:pPr>
      <w:r>
        <w:t>Cilj ovog rada je da analizira ekonomski položaj dece u deset razvijenih zemalja,</w:t>
      </w:r>
      <w:r>
        <w:rPr>
          <w:lang w:val="sr-Latn-RS"/>
        </w:rPr>
        <w:t xml:space="preserve"> odnosno </w:t>
      </w:r>
      <w:r>
        <w:t>Australiji, Kanadi, Francuskoj, Nemačkoj, Italiji, Luksemburgu, Holandiji, Švedskoj, Velikoj Britaniji, i Sjedinjenim Američkim Državama</w:t>
      </w:r>
      <w:r>
        <w:rPr>
          <w:lang w:val="sr-Latn-RS"/>
        </w:rPr>
        <w:t>. N</w:t>
      </w:r>
      <w:r>
        <w:t>e samo na osnovu novčanih prihoda, već i uzimajući u obzir nenovčane beneficije poput obrazovanja</w:t>
      </w:r>
      <w:r>
        <w:rPr>
          <w:lang w:val="sr-Latn-RS"/>
        </w:rPr>
        <w:t>,</w:t>
      </w:r>
      <w:r>
        <w:t xml:space="preserve"> zdravstvene zaštite</w:t>
      </w:r>
      <w:r>
        <w:rPr>
          <w:lang w:val="sr-Latn-RS"/>
        </w:rPr>
        <w:t xml:space="preserve"> i posedovanja stambenog prostora</w:t>
      </w:r>
      <w:r>
        <w:t>.</w:t>
      </w:r>
    </w:p>
    <w:p w14:paraId="30691004">
      <w:pPr>
        <w:pStyle w:val="6"/>
        <w:spacing w:line="360" w:lineRule="auto"/>
        <w:jc w:val="both"/>
        <w:rPr>
          <w:lang w:val="sr-Latn-RS"/>
        </w:rPr>
      </w:pPr>
      <w:r>
        <w:rPr>
          <w:lang w:val="sr-Latn-RS"/>
        </w:rPr>
        <w:t>Drugi slajd- Merenje životnog standarda</w:t>
      </w:r>
    </w:p>
    <w:p w14:paraId="157349BC">
      <w:pPr>
        <w:pStyle w:val="6"/>
        <w:spacing w:line="360" w:lineRule="auto"/>
        <w:jc w:val="both"/>
      </w:pPr>
      <w:r>
        <w:rPr>
          <w:lang w:val="sr-Latn-RS"/>
        </w:rPr>
        <w:t>Bitno je i kako se</w:t>
      </w:r>
      <w:r>
        <w:t xml:space="preserve"> meri životni standard dece i kako se on poredi između različitih zemalja.</w:t>
      </w:r>
    </w:p>
    <w:p w14:paraId="79F0CDEA">
      <w:pPr>
        <w:pStyle w:val="6"/>
        <w:spacing w:line="360" w:lineRule="auto"/>
        <w:jc w:val="both"/>
      </w:pPr>
      <w:r>
        <w:t>Autori se fokusiraju na materijalni životni standard, odnosno na prihode i resurse kojima deca raspolažu. Međutim, naglašavaju da su ovakva poređenja složena i da rezultati nisu potpuno precizni zbog različitih metodoloških pristupa.</w:t>
      </w:r>
    </w:p>
    <w:p w14:paraId="2FAE0FB8">
      <w:pPr>
        <w:pStyle w:val="6"/>
        <w:spacing w:line="360" w:lineRule="auto"/>
        <w:jc w:val="both"/>
      </w:pPr>
      <w:r>
        <w:t>U analizi se koristi takozvani HBAI pristup, prema kojem se prihodi posmatraju na nivou domaćinstva, dok se životni standard analizira na nivou pojedinca, odnosno deteta.</w:t>
      </w:r>
    </w:p>
    <w:p w14:paraId="79322D95">
      <w:pPr>
        <w:pStyle w:val="6"/>
        <w:spacing w:line="360" w:lineRule="auto"/>
        <w:jc w:val="both"/>
      </w:pPr>
      <w:r>
        <w:t>Važan pojam je ekvivalentni prihod, što znači da se prihod prilagođava veličini i potrebama porodice, kako bi poređenja bila realnija.</w:t>
      </w:r>
    </w:p>
    <w:p w14:paraId="2AA50C47">
      <w:pPr>
        <w:pStyle w:val="6"/>
        <w:spacing w:line="360" w:lineRule="auto"/>
        <w:jc w:val="both"/>
      </w:pPr>
      <w:r>
        <w:t>Rezultati pokazuju da deca u većini zemalja imaju niži prihod od proseka ukupne populacije. Takođe postoje velike razlike između siromašne i bogate dece. Na primer, nejednakost je najveća u Sjedinjenim Američkim Državama</w:t>
      </w:r>
      <w:r>
        <w:rPr>
          <w:lang w:val="sr-Latn-RS"/>
        </w:rPr>
        <w:t>, Italiji i Australiji</w:t>
      </w:r>
      <w:r>
        <w:t>, dok je najmanja u Švedskoj.</w:t>
      </w:r>
    </w:p>
    <w:p w14:paraId="3718DAD8">
      <w:pPr>
        <w:pStyle w:val="6"/>
        <w:spacing w:line="360" w:lineRule="auto"/>
        <w:jc w:val="both"/>
        <w:rPr>
          <w:lang w:val="sr-Latn-RS"/>
        </w:rPr>
      </w:pPr>
      <w:r>
        <w:rPr>
          <w:lang w:val="sr-Latn-RS"/>
        </w:rPr>
        <w:t>I u Nemačkoj, Holandiji i Luksemburgu takođe je zabeležena mala nejednakost</w:t>
      </w:r>
    </w:p>
    <w:p w14:paraId="370E2C51">
      <w:pPr>
        <w:pStyle w:val="6"/>
        <w:spacing w:line="360" w:lineRule="auto"/>
        <w:jc w:val="both"/>
        <w:rPr>
          <w:lang w:val="en-GB"/>
        </w:rPr>
      </w:pPr>
      <w:r>
        <w:rPr>
          <w:lang w:val="sr-Latn-RS"/>
        </w:rPr>
        <w:t xml:space="preserve">Treći slajd- </w:t>
      </w:r>
      <w:r>
        <w:rPr>
          <w:lang w:val="en-GB"/>
        </w:rPr>
        <w:t>Siromaštvo i dobrobit dece</w:t>
      </w:r>
    </w:p>
    <w:p w14:paraId="6B27CA9E">
      <w:pPr>
        <w:pStyle w:val="6"/>
        <w:spacing w:line="360" w:lineRule="auto"/>
        <w:jc w:val="both"/>
      </w:pPr>
      <w:r>
        <w:rPr>
          <w:lang w:val="sr-Latn-RS"/>
        </w:rPr>
        <w:t xml:space="preserve">Takođe se </w:t>
      </w:r>
      <w:bookmarkStart w:id="0" w:name="_GoBack"/>
      <w:bookmarkEnd w:id="0"/>
      <w:r>
        <w:t xml:space="preserve">analizira </w:t>
      </w:r>
      <w:r>
        <w:rPr>
          <w:lang w:val="sr-Latn-RS"/>
        </w:rPr>
        <w:t xml:space="preserve">i samo </w:t>
      </w:r>
      <w:r>
        <w:t>siromaštvo, sa posebnim fokusom na decu. Ne posmatra se samo apsolutno siromaštvo, već se koriste relativna merila, odnosno poredi se položaj dece u odnosu na prosečne prihode celokupnog stanovništva.</w:t>
      </w:r>
      <w:r>
        <w:rPr>
          <w:lang w:val="sr-Latn-RS"/>
        </w:rPr>
        <w:t xml:space="preserve"> </w:t>
      </w:r>
      <w:r>
        <w:t>Takođe se analizira i nejednakost prihoda pomoću Gini koeficijenta, kako bi se dobila potpunija slika o raspodeli bogatstva i životnom standardu dece.</w:t>
      </w:r>
    </w:p>
    <w:p w14:paraId="37888621">
      <w:pPr>
        <w:pStyle w:val="6"/>
        <w:spacing w:line="360" w:lineRule="auto"/>
        <w:jc w:val="both"/>
        <w:rPr>
          <w:lang w:val="en-GB"/>
        </w:rPr>
      </w:pPr>
      <w:r>
        <w:rPr>
          <w:lang w:val="en-GB"/>
        </w:rPr>
        <w:t>Četvrti slajd- Podaci i zemlje</w:t>
      </w:r>
    </w:p>
    <w:p w14:paraId="597EDAA8">
      <w:pPr>
        <w:pStyle w:val="6"/>
        <w:spacing w:line="360" w:lineRule="auto"/>
        <w:jc w:val="both"/>
      </w:pPr>
      <w:r>
        <w:t>Za analizu se koriste podaci iz Luksemburške studije prihoda, koja je omogućila međunarodno poređenje, što ranije nije bilo moguće zbog nedostatka uporedivih podataka.</w:t>
      </w:r>
    </w:p>
    <w:p w14:paraId="77C5D875">
      <w:pPr>
        <w:pStyle w:val="6"/>
        <w:spacing w:line="360" w:lineRule="auto"/>
        <w:jc w:val="both"/>
        <w:rPr>
          <w:lang w:val="sr-Latn-RS"/>
        </w:rPr>
      </w:pPr>
      <w:r>
        <w:t>Obuhvaćene su zemlje Evropske unije, ali i zemlje van EU, kao što su Sjedinjene Američke Države, Kanada, Australija i Švedska</w:t>
      </w:r>
      <w:r>
        <w:rPr>
          <w:lang w:val="sr-Latn-RS"/>
        </w:rPr>
        <w:t>.</w:t>
      </w:r>
    </w:p>
    <w:p w14:paraId="3AFC6857">
      <w:pPr>
        <w:pStyle w:val="6"/>
        <w:spacing w:line="360" w:lineRule="auto"/>
        <w:jc w:val="both"/>
      </w:pPr>
      <w:r>
        <w:t>Rezultati pokazuju da deca u Švedskoj imaju najveći relativni nivo prihoda, dok su deca u Sjedinjenim Američkim Državama u najlošijem položaju.</w:t>
      </w:r>
    </w:p>
    <w:p w14:paraId="5BBE4FC6">
      <w:pPr>
        <w:pStyle w:val="6"/>
        <w:spacing w:line="360" w:lineRule="auto"/>
        <w:jc w:val="both"/>
      </w:pPr>
      <w:r>
        <w:t>Kada je u pitanju nejednakost, ona je najveća u SAD, dok je najmanja u Švedskoj, Nemačkoj i Luksemburgu.</w:t>
      </w:r>
    </w:p>
    <w:p w14:paraId="45543773">
      <w:pPr>
        <w:pStyle w:val="6"/>
        <w:spacing w:line="360" w:lineRule="auto"/>
        <w:jc w:val="both"/>
        <w:rPr>
          <w:lang w:val="sr-Latn-RS"/>
        </w:rPr>
      </w:pPr>
      <w:r>
        <w:t>Takođe, položaj dece značajno zavisi od strukture porodice</w:t>
      </w:r>
      <w:r>
        <w:rPr>
          <w:lang w:val="sr-Latn-RS"/>
        </w:rPr>
        <w:t xml:space="preserve"> poput </w:t>
      </w:r>
      <w:r>
        <w:t>broja dece, da li roditelji rade i koliko osoba doprinosi prihodima u domaćinstvu</w:t>
      </w:r>
      <w:r>
        <w:rPr>
          <w:lang w:val="sr-Latn-RS"/>
        </w:rPr>
        <w:t xml:space="preserve">. </w:t>
      </w:r>
    </w:p>
    <w:p w14:paraId="4FAD5556">
      <w:pPr>
        <w:pStyle w:val="6"/>
        <w:spacing w:line="360" w:lineRule="auto"/>
        <w:jc w:val="both"/>
        <w:rPr>
          <w:lang w:val="sr-Latn-RS"/>
        </w:rPr>
      </w:pPr>
      <w:r>
        <w:rPr>
          <w:lang w:val="sr-Latn-RS"/>
        </w:rPr>
        <w:t>U</w:t>
      </w:r>
      <w:r>
        <w:t xml:space="preserve"> SAD</w:t>
      </w:r>
      <w:r>
        <w:rPr>
          <w:lang w:val="sr-Latn-RS"/>
        </w:rPr>
        <w:t>-u</w:t>
      </w:r>
      <w:r>
        <w:t xml:space="preserve"> deca sa zaposlenim roditeljima </w:t>
      </w:r>
      <w:r>
        <w:rPr>
          <w:lang w:val="sr-Latn-RS"/>
        </w:rPr>
        <w:t xml:space="preserve">su </w:t>
      </w:r>
      <w:r>
        <w:t>u relativno lošijem položaju nego u drugim zemlja</w:t>
      </w:r>
      <w:r>
        <w:rPr>
          <w:lang w:val="sr-Latn-RS"/>
        </w:rPr>
        <w:t xml:space="preserve">ma. </w:t>
      </w:r>
      <w:r>
        <w:t>Razlika između dece sa zaposlenim i nezaposlenim samohranim roditeljima najveća je u SAD i Italiji</w:t>
      </w:r>
      <w:r>
        <w:rPr>
          <w:lang w:val="sr-Latn-RS"/>
        </w:rPr>
        <w:t xml:space="preserve">. </w:t>
      </w:r>
    </w:p>
    <w:p w14:paraId="1B76A207">
      <w:pPr>
        <w:pStyle w:val="6"/>
        <w:spacing w:line="360" w:lineRule="auto"/>
        <w:jc w:val="both"/>
        <w:rPr>
          <w:lang w:val="sr-Latn-RS"/>
        </w:rPr>
      </w:pPr>
      <w:r>
        <w:rPr>
          <w:lang w:val="sr-Latn-RS"/>
        </w:rPr>
        <w:t>B</w:t>
      </w:r>
      <w:r>
        <w:t xml:space="preserve">račni parovi sa jednim primanjem u proseku </w:t>
      </w:r>
      <w:r>
        <w:rPr>
          <w:lang w:val="sr-Latn-RS"/>
        </w:rPr>
        <w:t xml:space="preserve">su </w:t>
      </w:r>
      <w:r>
        <w:t>u najboljem položaju u Velikoj Britaniji, dok su deca iz porodica u kojima dvoje zarađuje relativno najimućnija u Italiji, Velikoj Britaniji i Francuskoj.</w:t>
      </w:r>
    </w:p>
    <w:p w14:paraId="02B83450">
      <w:pPr>
        <w:pStyle w:val="6"/>
        <w:spacing w:line="360" w:lineRule="auto"/>
        <w:jc w:val="both"/>
        <w:rPr>
          <w:lang w:val="sr-Latn-RS"/>
        </w:rPr>
      </w:pPr>
      <w:r>
        <w:rPr>
          <w:lang w:val="en-GB"/>
        </w:rPr>
        <w:t>Peti slajd- Siromaštvo dece</w:t>
      </w:r>
    </w:p>
    <w:p w14:paraId="3B554C29">
      <w:pPr>
        <w:pStyle w:val="6"/>
        <w:spacing w:line="360" w:lineRule="auto"/>
        <w:jc w:val="both"/>
      </w:pPr>
      <w:r>
        <w:t xml:space="preserve">U ovom delu analizira se siromaštvo dece kroz različite pragove prihoda </w:t>
      </w:r>
      <w:r>
        <w:rPr>
          <w:lang w:val="sr-Latn-RS"/>
        </w:rPr>
        <w:t xml:space="preserve">to jest </w:t>
      </w:r>
      <w:r>
        <w:t>40, 50 i 60 odsto prosečnih prihoda.</w:t>
      </w:r>
    </w:p>
    <w:p w14:paraId="627047A1">
      <w:pPr>
        <w:pStyle w:val="6"/>
        <w:spacing w:line="360" w:lineRule="auto"/>
        <w:jc w:val="both"/>
      </w:pPr>
      <w:r>
        <w:t>Rezultati pokazuju da su Sjedinjene Američke Države uvek sa najvećim nivom siromaštva dece, bez obzira na to koji se prag koristi.</w:t>
      </w:r>
    </w:p>
    <w:p w14:paraId="1C519C68">
      <w:pPr>
        <w:pStyle w:val="6"/>
        <w:spacing w:line="360" w:lineRule="auto"/>
        <w:jc w:val="both"/>
        <w:rPr>
          <w:lang w:val="sr-Latn-RS"/>
        </w:rPr>
      </w:pPr>
      <w:r>
        <w:t>S druge strane, Švedska se izdvaja kao zemlja sa najnižim nivom siromaštva dece, dok su ostale zemlje uglavnom između ta dva ekstrema</w:t>
      </w:r>
      <w:r>
        <w:rPr>
          <w:lang w:val="sr-Latn-RS"/>
        </w:rPr>
        <w:t>.</w:t>
      </w:r>
    </w:p>
    <w:p w14:paraId="2A2DA0BE">
      <w:pPr>
        <w:pStyle w:val="6"/>
        <w:spacing w:line="360" w:lineRule="auto"/>
        <w:jc w:val="both"/>
      </w:pPr>
      <w:r>
        <w:t>Siromaštvo dece zavisi od više faktora. Na primer, sa povećanjem broja dece u porodici, raste i rizik od siromaštva.</w:t>
      </w:r>
    </w:p>
    <w:p w14:paraId="29900A0D">
      <w:pPr>
        <w:pStyle w:val="6"/>
        <w:spacing w:line="360" w:lineRule="auto"/>
        <w:jc w:val="both"/>
        <w:rPr>
          <w:lang w:val="sr-Latn-RS"/>
        </w:rPr>
      </w:pPr>
      <w:r>
        <w:t>Takođe, deca koja žive sa samohranim roditeljima su u većem riziku u odnosu na decu koja žive sa oba roditelja.</w:t>
      </w:r>
      <w:r>
        <w:rPr>
          <w:lang w:val="sr-Latn-RS"/>
        </w:rPr>
        <w:t xml:space="preserve"> U Nemačkoj je mali broj dece koji živi ispod prosečnog standarda ali zato je velika stopa samohranih porodica ispod proseka.</w:t>
      </w:r>
    </w:p>
    <w:p w14:paraId="377ABA23">
      <w:pPr>
        <w:pStyle w:val="6"/>
        <w:spacing w:line="360" w:lineRule="auto"/>
        <w:jc w:val="both"/>
      </w:pPr>
      <w:r>
        <w:t>Važan faktor je i zaposlenost</w:t>
      </w:r>
      <w:r>
        <w:rPr>
          <w:lang w:val="sr-Latn-RS"/>
        </w:rPr>
        <w:t xml:space="preserve">, </w:t>
      </w:r>
      <w:r>
        <w:t>porodice u kojima niko ne radi imaju znatno veći rizik od siromaštva.</w:t>
      </w:r>
    </w:p>
    <w:p w14:paraId="5AB7A865">
      <w:pPr>
        <w:pStyle w:val="6"/>
        <w:spacing w:line="360" w:lineRule="auto"/>
        <w:jc w:val="both"/>
      </w:pPr>
      <w:r>
        <w:t>Ipak, iako postoje jasni obrasci, postoje i izuzeci koji se razlikuju od zemlje do zemlje.</w:t>
      </w:r>
    </w:p>
    <w:p w14:paraId="24AABB03">
      <w:pPr>
        <w:pStyle w:val="6"/>
        <w:spacing w:line="360" w:lineRule="auto"/>
        <w:jc w:val="both"/>
        <w:rPr>
          <w:lang w:val="sr-Latn-RS"/>
        </w:rPr>
      </w:pPr>
      <w:r>
        <w:rPr>
          <w:lang w:val="sr-Latn-RS"/>
        </w:rPr>
        <w:t>Šesti slajd- Deca VS stariji</w:t>
      </w:r>
    </w:p>
    <w:p w14:paraId="43E62B26">
      <w:pPr>
        <w:pStyle w:val="6"/>
        <w:spacing w:line="360" w:lineRule="auto"/>
        <w:jc w:val="both"/>
      </w:pPr>
      <w:r>
        <w:rPr>
          <w:lang w:val="sr-Latn-RS"/>
        </w:rPr>
        <w:t>Poređenje</w:t>
      </w:r>
      <w:r>
        <w:t xml:space="preserve"> siromaštv</w:t>
      </w:r>
      <w:r>
        <w:rPr>
          <w:lang w:val="sr-Latn-RS"/>
        </w:rPr>
        <w:t>a</w:t>
      </w:r>
      <w:r>
        <w:t xml:space="preserve"> dece i starijih ljudi </w:t>
      </w:r>
      <w:r>
        <w:rPr>
          <w:lang w:val="sr-Latn-RS"/>
        </w:rPr>
        <w:t xml:space="preserve">se utvrđuje </w:t>
      </w:r>
      <w:r>
        <w:t>kako bi se procenila pravičnost socijalnih sistema.</w:t>
      </w:r>
    </w:p>
    <w:p w14:paraId="4F441202">
      <w:pPr>
        <w:pStyle w:val="6"/>
        <w:spacing w:line="360" w:lineRule="auto"/>
        <w:jc w:val="both"/>
      </w:pPr>
      <w:r>
        <w:t>U nekim zemljama, kao što su Velika Britanija i Sjedinjene Američke Države, deca su u većem riziku od siromaštva nego stariji ljudi.</w:t>
      </w:r>
    </w:p>
    <w:p w14:paraId="2FCBE7C1">
      <w:pPr>
        <w:pStyle w:val="6"/>
        <w:spacing w:line="360" w:lineRule="auto"/>
        <w:jc w:val="both"/>
      </w:pPr>
      <w:r>
        <w:t>U drugim zemljama, poput Australije ili Luksemburga, stariji ljudi imaju veći rizik.</w:t>
      </w:r>
    </w:p>
    <w:p w14:paraId="373C068D">
      <w:pPr>
        <w:pStyle w:val="6"/>
        <w:spacing w:line="360" w:lineRule="auto"/>
        <w:jc w:val="both"/>
      </w:pPr>
      <w:r>
        <w:t>Međutim, u zemljama kao što su Nemačka, Italija i Švedska razlike su manje izražene, što pokazuje da ne postoji univerzalni obrazac.</w:t>
      </w:r>
    </w:p>
    <w:p w14:paraId="24231092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kern w:val="0"/>
          <w:lang w:val="sr-Latn-RS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sr-Latn-RS" w:eastAsia="en-GB"/>
          <w14:ligatures w14:val="none"/>
        </w:rPr>
        <w:t xml:space="preserve">Sedmi slajd- </w:t>
      </w:r>
      <w:r>
        <w:rPr>
          <w:rFonts w:ascii="Times New Roman" w:hAnsi="Times New Roman" w:cs="Times New Roman"/>
        </w:rPr>
        <w:t>Proširenje koncepta resursa</w:t>
      </w:r>
    </w:p>
    <w:p w14:paraId="6FA22B0B">
      <w:pPr>
        <w:pStyle w:val="6"/>
        <w:spacing w:line="360" w:lineRule="auto"/>
        <w:jc w:val="both"/>
      </w:pPr>
      <w:r>
        <w:rPr>
          <w:lang w:val="sr-Latn-RS"/>
        </w:rPr>
        <w:t>P</w:t>
      </w:r>
      <w:r>
        <w:t xml:space="preserve">roširuje </w:t>
      </w:r>
      <w:r>
        <w:rPr>
          <w:lang w:val="sr-Latn-RS"/>
        </w:rPr>
        <w:t xml:space="preserve">se </w:t>
      </w:r>
      <w:r>
        <w:t>koncept resursa koji utiču na životni standard.</w:t>
      </w:r>
      <w:r>
        <w:rPr>
          <w:lang w:val="sr-Latn-RS"/>
        </w:rPr>
        <w:t xml:space="preserve"> </w:t>
      </w:r>
      <w:r>
        <w:t>Do sada su se analize bazirale samo na raspoloživim gotovinskim prihodima, međutim, to nije dovoljno da bi se dobila potpuna slika.</w:t>
      </w:r>
    </w:p>
    <w:p w14:paraId="212B5024">
      <w:pPr>
        <w:pStyle w:val="6"/>
        <w:spacing w:line="360" w:lineRule="auto"/>
        <w:jc w:val="both"/>
      </w:pPr>
      <w:r>
        <w:t>Životni standard zavisi i od tzv. bezgotovinskih beneficija, koje mogu dolaziti od države, poslodavaca ili čak iz sopstvenog rada u domaćinstvu, kao što je briga o deci.</w:t>
      </w:r>
    </w:p>
    <w:p w14:paraId="78560EE3">
      <w:pPr>
        <w:pStyle w:val="6"/>
        <w:spacing w:line="360" w:lineRule="auto"/>
        <w:jc w:val="both"/>
      </w:pPr>
      <w:r>
        <w:t>Zbog toga je važno uključiti i ove faktore, jer oni značajno utiču na kvalitet života.</w:t>
      </w:r>
    </w:p>
    <w:p w14:paraId="010D2634">
      <w:pPr>
        <w:pStyle w:val="6"/>
        <w:spacing w:line="360" w:lineRule="auto"/>
        <w:jc w:val="both"/>
      </w:pPr>
      <w:r>
        <w:t>Bezgotovinske beneficije uključuju različite oblike podrške, kao što su zdravstvena zaštita, obrazovanje i stambene subvencije.</w:t>
      </w:r>
    </w:p>
    <w:p w14:paraId="69D1C3E1">
      <w:pPr>
        <w:pStyle w:val="6"/>
        <w:spacing w:line="360" w:lineRule="auto"/>
        <w:jc w:val="both"/>
      </w:pPr>
      <w:r>
        <w:t>Takođe, uključuju i vrednost stanovanja u sopstvenoj kući, kao i određene beneficije koje dolaze od poslodavaca, kao što je zdravstveno osiguranje.</w:t>
      </w:r>
    </w:p>
    <w:p w14:paraId="4430B8F9">
      <w:pPr>
        <w:pStyle w:val="6"/>
        <w:spacing w:line="360" w:lineRule="auto"/>
        <w:jc w:val="both"/>
      </w:pPr>
      <w:r>
        <w:t>Međutim, postoji problem u njihovom merenju, jer se neke stvari, poput kućnog rada i nege dece, ne mogu lako kvantifikovati.</w:t>
      </w:r>
    </w:p>
    <w:p w14:paraId="70723E61">
      <w:pPr>
        <w:pStyle w:val="6"/>
        <w:spacing w:line="360" w:lineRule="auto"/>
        <w:jc w:val="both"/>
      </w:pPr>
      <w:r>
        <w:t>Zbog toga se u analizi uzimaju samo najvažniji i merljivi elementi, iako širi koncept obuhvata mnogo više.</w:t>
      </w:r>
    </w:p>
    <w:p w14:paraId="30CBD228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kern w:val="0"/>
          <w:lang w:val="sr-Latn-RS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sr-Latn-RS" w:eastAsia="en-GB"/>
          <w14:ligatures w14:val="none"/>
        </w:rPr>
        <w:t xml:space="preserve">Osmi slajd- </w:t>
      </w:r>
      <w:r>
        <w:rPr>
          <w:rFonts w:ascii="Times New Roman" w:hAnsi="Times New Roman" w:cs="Times New Roman"/>
        </w:rPr>
        <w:t>Metodologija i uračunavanje resursa</w:t>
      </w:r>
    </w:p>
    <w:p w14:paraId="575C5438">
      <w:pPr>
        <w:pStyle w:val="6"/>
        <w:spacing w:line="360" w:lineRule="auto"/>
        <w:jc w:val="both"/>
      </w:pPr>
      <w:r>
        <w:t>U ovom delu objašnjava se metodologija, odnosno kako su bezgotovinske beneficije uključene u analizu.</w:t>
      </w:r>
    </w:p>
    <w:p w14:paraId="707441D4">
      <w:pPr>
        <w:pStyle w:val="6"/>
        <w:spacing w:line="360" w:lineRule="auto"/>
        <w:jc w:val="both"/>
      </w:pPr>
      <w:r>
        <w:t>Podaci su preuzeti iz LIS baze, a dodatno su uračunati troškovi zdravstva, obrazovanja i stanovanja. Ti troškovi su raspoređeni po domaćinstvima u zavisnosti od njihove strukture, kao što su broj članova, starost i pol.</w:t>
      </w:r>
    </w:p>
    <w:p w14:paraId="636E0640">
      <w:pPr>
        <w:pStyle w:val="6"/>
        <w:spacing w:line="360" w:lineRule="auto"/>
        <w:jc w:val="both"/>
      </w:pPr>
      <w:r>
        <w:t>Na taj način se dobija tzv. finalni prihod, koji predstavlja realniju sliku životnog standarda.</w:t>
      </w:r>
    </w:p>
    <w:p w14:paraId="444A3CE1">
      <w:pPr>
        <w:pStyle w:val="6"/>
        <w:spacing w:line="360" w:lineRule="auto"/>
        <w:jc w:val="both"/>
      </w:pPr>
      <w:r>
        <w:t xml:space="preserve">Uključivanje ovih beneficija ima važne posledice </w:t>
      </w:r>
      <w:r>
        <w:rPr>
          <w:lang w:val="sr-Latn-RS"/>
        </w:rPr>
        <w:t xml:space="preserve">npr. </w:t>
      </w:r>
      <w:r>
        <w:t>smanjuje se nejednakost, a posebno se poboljšava položaj starijih ljudi i, u manjoj meri, porodica sa decom.</w:t>
      </w:r>
    </w:p>
    <w:p w14:paraId="494346D4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kern w:val="0"/>
          <w:lang w:val="sr-Latn-RS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sr-Latn-RS" w:eastAsia="en-GB"/>
          <w14:ligatures w14:val="none"/>
        </w:rPr>
        <w:t>Deveti slajd- Efekti bezgotovinskih beneficija</w:t>
      </w:r>
    </w:p>
    <w:p w14:paraId="658E5805">
      <w:pPr>
        <w:pStyle w:val="6"/>
        <w:spacing w:line="360" w:lineRule="auto"/>
        <w:jc w:val="both"/>
      </w:pPr>
      <w:r>
        <w:rPr>
          <w:lang w:val="sr-Latn-RS"/>
        </w:rPr>
        <w:t>P</w:t>
      </w:r>
      <w:r>
        <w:t xml:space="preserve">rikazani su </w:t>
      </w:r>
      <w:r>
        <w:rPr>
          <w:lang w:val="sr-Latn-RS"/>
        </w:rPr>
        <w:t xml:space="preserve">i </w:t>
      </w:r>
      <w:r>
        <w:t>efekti uključivanja bezgotovinskih beneficija u analizu.</w:t>
      </w:r>
    </w:p>
    <w:p w14:paraId="7BA856A3">
      <w:pPr>
        <w:pStyle w:val="6"/>
        <w:spacing w:line="360" w:lineRule="auto"/>
        <w:jc w:val="both"/>
      </w:pPr>
      <w:r>
        <w:t>Razlikuju se tri nivoa prihoda</w:t>
      </w:r>
      <w:r>
        <w:rPr>
          <w:lang w:val="sr-Latn-RS"/>
        </w:rPr>
        <w:t>. P</w:t>
      </w:r>
      <w:r>
        <w:t>rvi uključuje samo gotovinske prihode, drugi dodaje zdravstvo i obrazovanje, a treći uključuje i stambene beneficije.</w:t>
      </w:r>
    </w:p>
    <w:p w14:paraId="2001FFD6">
      <w:pPr>
        <w:pStyle w:val="6"/>
        <w:spacing w:line="360" w:lineRule="auto"/>
        <w:jc w:val="both"/>
      </w:pPr>
      <w:r>
        <w:t xml:space="preserve">Rezultati pokazuju da se, kada se uključe ove dodatne komponente, ukupni prihodi dece </w:t>
      </w:r>
      <w:r>
        <w:rPr>
          <w:lang w:val="sr-Latn-RS"/>
        </w:rPr>
        <w:t xml:space="preserve">se </w:t>
      </w:r>
      <w:r>
        <w:t>povećavaju, a razlike između zemalja se smanjuju.</w:t>
      </w:r>
    </w:p>
    <w:p w14:paraId="12B06A8F">
      <w:pPr>
        <w:pStyle w:val="6"/>
        <w:spacing w:line="360" w:lineRule="auto"/>
        <w:jc w:val="both"/>
        <w:rPr>
          <w:lang w:val="sr-Latn-RS"/>
        </w:rPr>
      </w:pPr>
      <w:r>
        <w:t>Posebno je važno da najveću korist imaju deca iz najsiromašnijih porodica, što dovodi do smanjenja nejednakosti.</w:t>
      </w:r>
      <w:r>
        <w:rPr>
          <w:lang w:val="sr-Latn-RS"/>
        </w:rPr>
        <w:t xml:space="preserve"> Dok npr. U Australiji uključivanjem dodatnih faktora zapravo dolazi do smanjenja prosečnog položaja dece.</w:t>
      </w:r>
    </w:p>
    <w:p w14:paraId="54A8BEC1">
      <w:pPr>
        <w:pStyle w:val="6"/>
        <w:spacing w:line="360" w:lineRule="auto"/>
        <w:jc w:val="both"/>
      </w:pPr>
      <w:r>
        <w:t>Takođe, i mere siromaštva značajno opadaju, ali uprkos tome Sjedinjene Američke Države i dalje ostaju zemlja sa najvišim nivom dečijeg siromaštva.</w:t>
      </w:r>
    </w:p>
    <w:p w14:paraId="6F69381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kern w:val="0"/>
          <w:lang w:val="sr-Latn-RS" w:eastAsia="en-GB"/>
          <w14:ligatures w14:val="none"/>
        </w:rPr>
        <w:t xml:space="preserve">Deseti slajd- </w:t>
      </w:r>
      <w:r>
        <w:rPr>
          <w:rFonts w:ascii="Times New Roman" w:hAnsi="Times New Roman" w:cs="Times New Roman"/>
        </w:rPr>
        <w:t>Zaključak</w:t>
      </w:r>
    </w:p>
    <w:p w14:paraId="5F9B55B0">
      <w:pPr>
        <w:pStyle w:val="6"/>
        <w:spacing w:line="360" w:lineRule="auto"/>
        <w:jc w:val="both"/>
      </w:pPr>
      <w:r>
        <w:t>Zaključno, istraživanje pokazuje da postoje velike razlike u ekonomskom položaju dece između zemalja.</w:t>
      </w:r>
    </w:p>
    <w:p w14:paraId="51463867">
      <w:pPr>
        <w:pStyle w:val="6"/>
        <w:spacing w:line="360" w:lineRule="auto"/>
        <w:jc w:val="both"/>
      </w:pPr>
      <w:r>
        <w:t>Deca su u najnepovoljnijem položaju u Sjedinjenim Američkim Državama, dok je situacija najbolja u Švedskoj.</w:t>
      </w:r>
    </w:p>
    <w:p w14:paraId="5CF736AD">
      <w:pPr>
        <w:pStyle w:val="6"/>
        <w:spacing w:line="360" w:lineRule="auto"/>
        <w:jc w:val="both"/>
      </w:pPr>
      <w:r>
        <w:t>Na ove razlike utiče više faktora, kao što su stanje na tržištu rada, poreski sistem, socijalni transferi i obim bezgotovinskih beneficija.</w:t>
      </w:r>
    </w:p>
    <w:p w14:paraId="6536BC99">
      <w:pPr>
        <w:pStyle w:val="6"/>
        <w:spacing w:line="360" w:lineRule="auto"/>
        <w:jc w:val="both"/>
      </w:pPr>
      <w:r>
        <w:t>Takođe se pokazuje da zemlje koje imaju razvijenije sisteme podrške porodicama sa decom imaju niže stope siromaštva.</w:t>
      </w:r>
    </w:p>
    <w:p w14:paraId="309D293B">
      <w:pPr>
        <w:pStyle w:val="6"/>
        <w:spacing w:line="360" w:lineRule="auto"/>
        <w:jc w:val="both"/>
      </w:pPr>
      <w:r>
        <w:t>Važno je naglasiti da se ovi podaci odnose na period 1980-ih, ali trendovi ukazuju da je dečije siromaštvo u mnogim zemljama u porastu.</w:t>
      </w:r>
    </w:p>
    <w:p w14:paraId="09E01531">
      <w:pPr>
        <w:pStyle w:val="6"/>
        <w:spacing w:line="360" w:lineRule="auto"/>
        <w:jc w:val="both"/>
      </w:pPr>
      <w:r>
        <w:t>Zbog toga komparativna istraživanja imaju veliki značaj, jer mogu pomoći državama da unaprede svoje socijalne politike i efikasnije se bore protiv siromaštva dece.</w:t>
      </w:r>
    </w:p>
    <w:p w14:paraId="02417AFA">
      <w:p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val="sr-Latn-RS" w:eastAsia="en-GB"/>
          <w14:ligatures w14:val="none"/>
        </w:rPr>
      </w:pPr>
    </w:p>
    <w:p w14:paraId="34B1F61D">
      <w:pPr>
        <w:pStyle w:val="6"/>
        <w:spacing w:line="360" w:lineRule="auto"/>
        <w:jc w:val="both"/>
        <w:rPr>
          <w:lang w:val="sr-Latn-RS"/>
        </w:rPr>
      </w:pPr>
    </w:p>
    <w:p w14:paraId="553E0EAE">
      <w:pPr>
        <w:pStyle w:val="6"/>
      </w:pPr>
    </w:p>
    <w:p w14:paraId="33A6AE9C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6"/>
    <w:rsid w:val="00062D9E"/>
    <w:rsid w:val="00092539"/>
    <w:rsid w:val="000B634B"/>
    <w:rsid w:val="00142516"/>
    <w:rsid w:val="00220C1C"/>
    <w:rsid w:val="00494DFC"/>
    <w:rsid w:val="004C3FE2"/>
    <w:rsid w:val="00570DE6"/>
    <w:rsid w:val="006A23CD"/>
    <w:rsid w:val="007E0481"/>
    <w:rsid w:val="008023AA"/>
    <w:rsid w:val="00907EFA"/>
    <w:rsid w:val="00937945"/>
    <w:rsid w:val="009C11C8"/>
    <w:rsid w:val="009F0101"/>
    <w:rsid w:val="00A254DF"/>
    <w:rsid w:val="00A347E8"/>
    <w:rsid w:val="00A414AA"/>
    <w:rsid w:val="00AA6FC7"/>
    <w:rsid w:val="00AD58F7"/>
    <w:rsid w:val="00B97E47"/>
    <w:rsid w:val="00BE4496"/>
    <w:rsid w:val="00CF346F"/>
    <w:rsid w:val="00E179D8"/>
    <w:rsid w:val="00E463FF"/>
    <w:rsid w:val="00E50F69"/>
    <w:rsid w:val="00FA63E9"/>
    <w:rsid w:val="00FB5EFA"/>
    <w:rsid w:val="05CF1DC8"/>
    <w:rsid w:val="4477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3"/>
    <w:basedOn w:val="1"/>
    <w:link w:val="8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7">
    <w:name w:val="Strong"/>
    <w:basedOn w:val="4"/>
    <w:qFormat/>
    <w:uiPriority w:val="22"/>
    <w:rPr>
      <w:b/>
      <w:bCs/>
    </w:rPr>
  </w:style>
  <w:style w:type="character" w:customStyle="1" w:styleId="8">
    <w:name w:val="Heading 3 Char"/>
    <w:basedOn w:val="4"/>
    <w:link w:val="3"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9">
    <w:name w:val="Heading 1 Char"/>
    <w:basedOn w:val="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1284</Words>
  <Characters>7323</Characters>
  <Lines>61</Lines>
  <Paragraphs>17</Paragraphs>
  <TotalTime>60</TotalTime>
  <ScaleCrop>false</ScaleCrop>
  <LinksUpToDate>false</LinksUpToDate>
  <CharactersWithSpaces>8590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2026-03-19T12:35:00Z</dcterms:created>
  <dc:creator>Grada</dc:creator>
  <cp:lastModifiedBy>Dell</cp:lastModifiedBy>
  <dcterms:modified xsi:type="dcterms:W3CDTF">2026-03-24T10:06:52Z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A2962C62827E49D8A2482F8C97887ECC_13</vt:lpwstr>
  </property>
</Properties>
</file>