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41" w:rsidRDefault="004D453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val="sr-Latn-RS"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sr-Latn-RS" w:eastAsia="en-GB"/>
        </w:rPr>
        <w:t>PROGRAM KURSA 202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6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sr-Latn-RS" w:eastAsia="en-GB"/>
        </w:rPr>
        <w:t>.</w:t>
      </w:r>
    </w:p>
    <w:p w:rsidR="008C7941" w:rsidRDefault="008C79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8C79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100"/>
      </w:tblGrid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Naziv kursa</w:t>
            </w:r>
          </w:p>
        </w:tc>
        <w:tc>
          <w:tcPr>
            <w:tcW w:w="810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Sociologija detinjstva</w:t>
            </w:r>
          </w:p>
        </w:tc>
      </w:tr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Ime predavača</w:t>
            </w:r>
          </w:p>
        </w:tc>
        <w:tc>
          <w:tcPr>
            <w:tcW w:w="8100" w:type="dxa"/>
            <w:vAlign w:val="center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dr Smiljka Tomanović, redovna profesorka, Odeljenje za sociologiju</w:t>
            </w:r>
          </w:p>
        </w:tc>
      </w:tr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Nivo kursa</w:t>
            </w:r>
          </w:p>
        </w:tc>
        <w:tc>
          <w:tcPr>
            <w:tcW w:w="810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Osnovni, na osnovnim studijama</w:t>
            </w:r>
          </w:p>
        </w:tc>
      </w:tr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Status kursa</w:t>
            </w:r>
          </w:p>
        </w:tc>
        <w:tc>
          <w:tcPr>
            <w:tcW w:w="810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Izborni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na IV godini sociologije</w:t>
            </w:r>
          </w:p>
        </w:tc>
      </w:tr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Raspored opterećenja</w:t>
            </w:r>
          </w:p>
        </w:tc>
        <w:tc>
          <w:tcPr>
            <w:tcW w:w="810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48 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sati nastave + 24 sati pripreme za nastavu (2 sata za vežbe)  + 6 sati domaćeg rada (priprema uvodnog izlaganja)  + 30 sati za izradu seminarskog + 30 sati pripreme za završnu proveru znanja = 126 sati / 900 sati ukupno u jednom semestru = 0.2</w:t>
            </w:r>
          </w:p>
        </w:tc>
      </w:tr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Br. kredita</w:t>
            </w:r>
          </w:p>
        </w:tc>
        <w:tc>
          <w:tcPr>
            <w:tcW w:w="810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Ukupno za jedan semestar 30 * 0.2= 6</w:t>
            </w:r>
          </w:p>
        </w:tc>
      </w:tr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Semestar</w:t>
            </w:r>
          </w:p>
        </w:tc>
        <w:tc>
          <w:tcPr>
            <w:tcW w:w="810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VIII (za student sociologije)</w:t>
            </w:r>
          </w:p>
        </w:tc>
      </w:tr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Sadržajkursa</w:t>
            </w:r>
          </w:p>
        </w:tc>
        <w:tc>
          <w:tcPr>
            <w:tcW w:w="810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Kurs pokriva probleme sociologije detinjstva</w:t>
            </w:r>
          </w:p>
        </w:tc>
      </w:tr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Ciljkursa</w:t>
            </w:r>
          </w:p>
        </w:tc>
        <w:tc>
          <w:tcPr>
            <w:tcW w:w="810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Cilj kursa je da se student upoznaju sa osnovnim problemima savremenog detinjstva kao i pristupima njihovom 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proučavanju. Ova saznanja treba studente da osposobe da  iz sociološke perspektive i na kritički način problematizuju pitanja koja obeležavaju detinjstvo u savremenom svetu. Jedan od ciljeva kursa je postavljanje osnova za profesionalno osposobljavanje stu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denata za istraživački i praktični rad sa decom u našem okruženju.</w:t>
            </w:r>
          </w:p>
        </w:tc>
      </w:tr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Oblik nastave i br. časova</w:t>
            </w:r>
          </w:p>
        </w:tc>
        <w:tc>
          <w:tcPr>
            <w:tcW w:w="810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Jedan semestar, 15 x 2 čas predavanja i 15 x 2 časa vežbi; </w:t>
            </w:r>
          </w:p>
        </w:tc>
      </w:tr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Preduslovi</w:t>
            </w:r>
          </w:p>
        </w:tc>
        <w:tc>
          <w:tcPr>
            <w:tcW w:w="810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Za uspešn</w:t>
            </w:r>
            <w:r w:rsidR="00C75B8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opohađanje kursa potrebno je poznavanje osnovnih socioloških, antropoloških i 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psihološko-pedagoških kategorija i metoda.</w:t>
            </w:r>
          </w:p>
        </w:tc>
      </w:tr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Obavezestudenata</w:t>
            </w:r>
          </w:p>
        </w:tc>
        <w:tc>
          <w:tcPr>
            <w:tcW w:w="8100" w:type="dxa"/>
          </w:tcPr>
          <w:p w:rsidR="008C7941" w:rsidRDefault="004D45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Redovno pohađanje i aktivno učestvovanje u nastavi: predavanjima i vežbama;</w:t>
            </w:r>
          </w:p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Izrada seminarskog rada.</w:t>
            </w:r>
          </w:p>
        </w:tc>
      </w:tr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Literatura i izvori podataka</w:t>
            </w:r>
          </w:p>
        </w:tc>
        <w:tc>
          <w:tcPr>
            <w:tcW w:w="810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Obavezna literatura:</w:t>
            </w:r>
          </w:p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RS"/>
              </w:rPr>
              <w:t xml:space="preserve">Sociologija detinjstva 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(priredila S. Tomano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vić), Beograd: ZUNS, 2004.</w:t>
            </w:r>
          </w:p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Igor Kon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RS"/>
              </w:rPr>
              <w:t>Dete i kultura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; Beograd: ZUNS, 1991.</w:t>
            </w:r>
          </w:p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S. Tomanović “Detinjstvo u istoriji, između ideje i prakse”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sr-Latn-RS"/>
              </w:rPr>
              <w:t>Sociologija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3/1996, str. 429-443.</w:t>
            </w:r>
          </w:p>
          <w:p w:rsidR="008C7941" w:rsidRDefault="008C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</w:p>
        </w:tc>
      </w:tr>
      <w:tr w:rsidR="008C7941">
        <w:tc>
          <w:tcPr>
            <w:tcW w:w="1440" w:type="dxa"/>
          </w:tcPr>
          <w:p w:rsidR="008C7941" w:rsidRDefault="004D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Način ocenjivanja</w:t>
            </w:r>
          </w:p>
        </w:tc>
        <w:tc>
          <w:tcPr>
            <w:tcW w:w="8100" w:type="dxa"/>
          </w:tcPr>
          <w:p w:rsidR="008C7941" w:rsidRDefault="004D453A" w:rsidP="00CB1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Učešće na vežbama (proseminari, radionice, vežbe) 20 bodova, </w:t>
            </w:r>
            <w:r w:rsidR="00CB1654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ispitni 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rad 40 bodova, usmeni ispit 40 bodova</w:t>
            </w:r>
          </w:p>
        </w:tc>
      </w:tr>
    </w:tbl>
    <w:p w:rsidR="008C7941" w:rsidRDefault="008C79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r-Latn-RS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val="sr-Latn-RS"/>
        </w:rPr>
        <w:t>PLAN KURSA</w:t>
      </w:r>
    </w:p>
    <w:p w:rsidR="008C7941" w:rsidRDefault="008C79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>P = predavanje; PS = proseminar; R = radionica; L = literatura;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4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.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1. čas: uvod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Uvodno predavanje: upoznavanje sa kursom i načinom rada; detinjstvo kao društveno-kulturni konstrukt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Vežba: brainstorming i diskusija: šta je dete? Moje detinjstvo i detinjstvo današnje dece? 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11.3.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2. čas: </w:t>
      </w:r>
      <w:r>
        <w:rPr>
          <w:rFonts w:ascii="Arial" w:eastAsia="Times New Roman" w:hAnsi="Arial" w:cs="Arial"/>
          <w:b/>
          <w:sz w:val="20"/>
          <w:szCs w:val="20"/>
          <w:lang w:val="sr-Latn-RS"/>
        </w:rPr>
        <w:t>P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 osnove sociologije detinjstva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L: A. Praut i A. Džejms »Nova paradigma za sociologiju detinjstva? Poreklo, obećanje i problemi«, u: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>Sociologija deti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njstva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str. 51 – 77. 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S. Tomanović «Sociologija o detinjstvu i sociologija za detinjstvo», u: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Sociologija detinjstva </w:t>
      </w:r>
      <w:r>
        <w:rPr>
          <w:rFonts w:ascii="Arial" w:eastAsia="Times New Roman" w:hAnsi="Arial" w:cs="Arial"/>
          <w:sz w:val="20"/>
          <w:szCs w:val="20"/>
          <w:lang w:val="sr-Latn-RS"/>
        </w:rPr>
        <w:t>str. 7 – 45.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</w:p>
    <w:p w:rsidR="008C7941" w:rsidRPr="00085D1E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 w:rsidRPr="00085D1E">
        <w:rPr>
          <w:rFonts w:ascii="Arial" w:eastAsia="Times New Roman" w:hAnsi="Arial" w:cs="Arial"/>
          <w:b/>
          <w:bCs/>
          <w:sz w:val="20"/>
          <w:szCs w:val="20"/>
          <w:lang w:val="sr-Latn-RS"/>
        </w:rPr>
        <w:t>nastanak moderne ideje i prakse detinjstva</w:t>
      </w:r>
    </w:p>
    <w:p w:rsidR="008C7941" w:rsidRPr="00085D1E" w:rsidRDefault="004D453A">
      <w:pPr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 w:rsidRPr="00085D1E">
        <w:rPr>
          <w:rFonts w:ascii="Arial" w:eastAsia="Times New Roman" w:hAnsi="Arial" w:cs="Arial"/>
          <w:sz w:val="20"/>
          <w:szCs w:val="20"/>
          <w:lang w:val="sr-Latn-RS"/>
        </w:rPr>
        <w:t xml:space="preserve">L: S. Tomanović “Detinjstvo u istoriji, između ideje i prakse” </w:t>
      </w:r>
      <w:r w:rsidRPr="00085D1E">
        <w:rPr>
          <w:rFonts w:ascii="Arial" w:eastAsia="Times New Roman" w:hAnsi="Arial" w:cs="Arial"/>
          <w:i/>
          <w:sz w:val="20"/>
          <w:szCs w:val="20"/>
          <w:lang w:val="sr-Latn-RS"/>
        </w:rPr>
        <w:t>Sociologija</w:t>
      </w:r>
      <w:r w:rsidRPr="00085D1E">
        <w:rPr>
          <w:rFonts w:ascii="Arial" w:eastAsia="Times New Roman" w:hAnsi="Arial" w:cs="Arial"/>
          <w:sz w:val="20"/>
          <w:szCs w:val="20"/>
          <w:lang w:val="sr-Latn-RS"/>
        </w:rPr>
        <w:t xml:space="preserve"> 3/1996, str. 429-443. </w:t>
      </w:r>
    </w:p>
    <w:p w:rsidR="008C7941" w:rsidRDefault="008C7941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i/>
          <w:sz w:val="20"/>
          <w:szCs w:val="20"/>
          <w:highlight w:val="yellow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8.</w:t>
      </w:r>
      <w:r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.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3. čas: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tema: kontroverze detinjstva u savemenom svetu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sz w:val="20"/>
          <w:szCs w:val="20"/>
          <w:lang w:val="sr-Latn-RS"/>
        </w:rPr>
        <w:t>PS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V. Zelizer: »Od korisne do beskorisne i ponovo korisne? Nastupajući obrasci vrednovanja dece«, u: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Sociologija detinjstva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(priredila S. Tomanović), Beograd: ZUNS, 2004. str. 77 – 96. </w:t>
      </w:r>
      <w:r w:rsidR="00C75B8C" w:rsidRPr="00C75B8C">
        <w:rPr>
          <w:rFonts w:ascii="Arial" w:eastAsia="Times New Roman" w:hAnsi="Arial" w:cs="Arial"/>
          <w:b/>
          <w:i/>
          <w:sz w:val="20"/>
          <w:szCs w:val="20"/>
          <w:lang w:val="sr-Latn-RS"/>
        </w:rPr>
        <w:t>Teodora Živojinović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lastRenderedPageBreak/>
        <w:t xml:space="preserve">I. Frenes »Dimenzije detinjstva«; u: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Sociologija detinjstva,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str. 110 – 133;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K. Dženks: »Postmoderno dete«, u: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Sociologija detinjstva,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str. 96 – 110. </w:t>
      </w:r>
    </w:p>
    <w:p w:rsidR="008C7941" w:rsidRDefault="004D453A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sz w:val="20"/>
          <w:szCs w:val="20"/>
          <w:lang w:val="sr-Latn-RS"/>
        </w:rPr>
        <w:t xml:space="preserve">FILM: Lov (The Hunt 2012) </w:t>
      </w:r>
    </w:p>
    <w:p w:rsidR="008C7941" w:rsidRDefault="008C7941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25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.3.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4. čas: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ekonomski aspekti detinjstva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u w:val="single"/>
          <w:lang w:val="sr-Latn-RS"/>
        </w:rPr>
      </w:pPr>
      <w:r>
        <w:rPr>
          <w:rFonts w:ascii="Arial" w:eastAsia="Times New Roman" w:hAnsi="Arial" w:cs="Arial"/>
          <w:sz w:val="20"/>
          <w:szCs w:val="20"/>
          <w:u w:val="single"/>
          <w:lang w:val="sr-Latn-RS"/>
        </w:rPr>
        <w:t xml:space="preserve">siromaštvo dece </w:t>
      </w:r>
    </w:p>
    <w:p w:rsidR="008C7941" w:rsidRPr="004D453A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L: S. Kenedi, P. Vajtford, Dž. Bredšou «Ekonomske prilike dece iz deset zemalja», u: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Sociologija detinjstva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str. 199 –227. </w:t>
      </w:r>
      <w:r w:rsidRPr="004D453A">
        <w:rPr>
          <w:rFonts w:ascii="Arial" w:eastAsia="Times New Roman" w:hAnsi="Arial" w:cs="Arial"/>
          <w:b/>
          <w:i/>
          <w:sz w:val="20"/>
          <w:szCs w:val="20"/>
          <w:lang w:val="sr-Latn-RS"/>
        </w:rPr>
        <w:t>Tara Rokić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u w:val="single"/>
          <w:lang w:val="sr-Latn-RS"/>
        </w:rPr>
        <w:t xml:space="preserve">Siromaštvo dece u Srbiji 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UNICEF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Siromaštvo sa mnogo lica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UNICEF izveštaji o ekonomskom položaju dece u Srbiji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PRISTUP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žena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i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dece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uslugama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u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ruralnim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oblastima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Srbije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i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predlog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mera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za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unapređenje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sz w:val="20"/>
          <w:szCs w:val="20"/>
        </w:rPr>
        <w:t>stanja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 [</w:t>
      </w:r>
      <w:proofErr w:type="spellStart"/>
      <w:proofErr w:type="gramEnd"/>
      <w:r>
        <w:rPr>
          <w:rFonts w:ascii="Arial" w:eastAsia="Times New Roman" w:hAnsi="Arial" w:cs="Arial"/>
          <w:bCs/>
          <w:sz w:val="20"/>
          <w:szCs w:val="20"/>
        </w:rPr>
        <w:t>Natalija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Bogdanov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... [et al.] ; Beograd : UNICEF, 2011 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1. </w:t>
      </w:r>
      <w:r>
        <w:rPr>
          <w:rFonts w:ascii="Arial" w:eastAsia="Times New Roman" w:hAnsi="Arial" w:cs="Arial"/>
          <w:b/>
          <w:bCs/>
          <w:sz w:val="20"/>
          <w:szCs w:val="20"/>
        </w:rPr>
        <w:t>4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.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5. čas: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kultura dece i rod i detinjstvo </w:t>
      </w:r>
      <w:bookmarkStart w:id="0" w:name="_Hlk123984466"/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Andrija Golubović</w:t>
      </w:r>
      <w:bookmarkEnd w:id="0"/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PS 1 čas:  društvo vršnjaka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L: A. Džejms: «Prijatelji i poznanici», u: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Sociologija detinjstva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str. 262 – 276. </w:t>
      </w:r>
      <w:r w:rsidR="00C75B8C" w:rsidRPr="00C75B8C">
        <w:rPr>
          <w:rFonts w:ascii="Arial" w:eastAsia="Times New Roman" w:hAnsi="Arial" w:cs="Arial"/>
          <w:b/>
          <w:i/>
          <w:sz w:val="20"/>
          <w:szCs w:val="20"/>
          <w:lang w:val="sr-Latn-RS"/>
        </w:rPr>
        <w:t>Katarina Trmčić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PS 1 čas: devojčice i dečaci – rodni aspekti detinjstva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L: Igor Kon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>Dete i kultura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; Beograd: ZUNS, 1991. glava IV  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8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</w:rPr>
        <w:t>4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.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6. čas: 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prava deteta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L: G. Lansdaun: «Dečja prava», u: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Sociologija detinjstva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str. 185 – 199.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>R 1 čas: diskusija o koliziji između protektivnih i participativnih prava (zaštita vs. učestvovanje)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u w:val="single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L: </w:t>
      </w:r>
      <w:r>
        <w:rPr>
          <w:rFonts w:ascii="Arial" w:eastAsia="Times New Roman" w:hAnsi="Arial" w:cs="Arial"/>
          <w:sz w:val="20"/>
          <w:szCs w:val="20"/>
          <w:u w:val="single"/>
          <w:lang w:val="sr-Latn-RS"/>
        </w:rPr>
        <w:t>Konvencija o pravima deteta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, N. Vučković – Šahović </w:t>
      </w:r>
      <w:r>
        <w:rPr>
          <w:rFonts w:ascii="Arial" w:eastAsia="Times New Roman" w:hAnsi="Arial" w:cs="Arial"/>
          <w:b/>
          <w:sz w:val="20"/>
          <w:szCs w:val="20"/>
          <w:u w:val="single"/>
          <w:lang w:val="sr-Latn-RS"/>
        </w:rPr>
        <w:t>obavezno za sve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FILM: All the Invisible Children (2005)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2</w:t>
      </w:r>
      <w:r>
        <w:rPr>
          <w:rFonts w:ascii="Arial" w:eastAsia="Times New Roman" w:hAnsi="Arial" w:cs="Arial"/>
          <w:b/>
          <w:bCs/>
          <w:sz w:val="20"/>
          <w:szCs w:val="20"/>
        </w:rPr>
        <w:t>2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</w:rPr>
        <w:t>4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.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7. čas: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deca pod rizikom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u w:val="single"/>
          <w:lang w:val="sr-Latn-RS"/>
        </w:rPr>
      </w:pPr>
      <w:r>
        <w:rPr>
          <w:rFonts w:ascii="Arial" w:eastAsia="Times New Roman" w:hAnsi="Arial" w:cs="Arial"/>
          <w:sz w:val="20"/>
          <w:szCs w:val="20"/>
          <w:u w:val="single"/>
          <w:lang w:val="sr-Latn-RS"/>
        </w:rPr>
        <w:t>rad dece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L: M. Vudhed «Borba protiv dečjeg rada», u: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Sociologija detinjstva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str. 316 – 341. </w:t>
      </w:r>
      <w:r>
        <w:rPr>
          <w:rFonts w:ascii="Arial" w:eastAsia="Times New Roman" w:hAnsi="Arial" w:cs="Arial"/>
          <w:b/>
          <w:i/>
          <w:sz w:val="20"/>
          <w:szCs w:val="20"/>
          <w:lang w:val="sr-Latn-RS"/>
        </w:rPr>
        <w:t xml:space="preserve"> </w:t>
      </w:r>
      <w:r w:rsidRPr="004D453A">
        <w:rPr>
          <w:rFonts w:ascii="Arial" w:eastAsia="Times New Roman" w:hAnsi="Arial" w:cs="Arial"/>
          <w:b/>
          <w:i/>
          <w:sz w:val="20"/>
          <w:szCs w:val="20"/>
          <w:lang w:val="sr-Latn-RS"/>
        </w:rPr>
        <w:t>Saša Šolić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Deca koja prose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u w:val="single"/>
          <w:lang w:val="sr-Latn-RS"/>
        </w:rPr>
        <w:t>deca ulice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, zanemarivanje, zlostavljanje, delikvencija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iCs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L: N. Žegarac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Deca govore 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29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.4.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8. čas: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deca i nova stvarnost porodica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>P 1 čas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>PS 2 časa</w:t>
      </w:r>
    </w:p>
    <w:p w:rsidR="008C7941" w:rsidRPr="004D453A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L: «Children's experience of their parent's divorce» M. Robins et al. </w:t>
      </w:r>
      <w:r w:rsidRPr="004D453A">
        <w:rPr>
          <w:rFonts w:ascii="Arial" w:eastAsia="Times New Roman" w:hAnsi="Arial" w:cs="Arial"/>
          <w:b/>
          <w:i/>
          <w:sz w:val="20"/>
          <w:szCs w:val="20"/>
          <w:lang w:val="sr-Latn-RS"/>
        </w:rPr>
        <w:t>Anja Kostić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«Children coping with parental divorce» K. Moxnes </w:t>
      </w:r>
      <w:r w:rsidRPr="004D453A">
        <w:rPr>
          <w:rFonts w:ascii="Arial" w:eastAsia="Times New Roman" w:hAnsi="Arial" w:cs="Arial"/>
          <w:b/>
          <w:i/>
          <w:sz w:val="20"/>
          <w:szCs w:val="20"/>
          <w:lang w:val="sr-Latn-RS"/>
        </w:rPr>
        <w:t>Vuk Nedeljković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Cs/>
          <w:sz w:val="20"/>
          <w:szCs w:val="20"/>
          <w:lang w:val="sr-Latn-RS"/>
        </w:rPr>
        <w:t xml:space="preserve">Radionica – predlozi institucijama za </w:t>
      </w:r>
      <w:r>
        <w:rPr>
          <w:rFonts w:ascii="Arial" w:eastAsia="Times New Roman" w:hAnsi="Arial" w:cs="Arial"/>
          <w:bCs/>
          <w:sz w:val="20"/>
          <w:szCs w:val="20"/>
          <w:lang w:val="sr-Latn-RS"/>
        </w:rPr>
        <w:t>podršku deci u procesu razvoda i u JP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FILM: Dečaštvo (Boyhood)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6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</w:rPr>
        <w:t>5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.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9. čas: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porodica i škola kao svakodnevni konteksti detinjstva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L: B. Mejel »Deca na delu u porodici i školi«, u: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Sociologija detinjstva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str. 227 – 243. </w:t>
      </w:r>
      <w:bookmarkStart w:id="1" w:name="_GoBack"/>
      <w:r w:rsidRPr="004D453A">
        <w:rPr>
          <w:rFonts w:ascii="Arial" w:eastAsia="Times New Roman" w:hAnsi="Arial" w:cs="Arial"/>
          <w:b/>
          <w:i/>
          <w:sz w:val="20"/>
          <w:szCs w:val="20"/>
          <w:lang w:val="sr-Latn-RS"/>
        </w:rPr>
        <w:t>Anđela Ćorić</w:t>
      </w:r>
      <w:bookmarkEnd w:id="1"/>
    </w:p>
    <w:p w:rsidR="008C7941" w:rsidRDefault="004D45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Bek – Hansen »Mladi između porodice i škole«, u: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Sociologija detinjstva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str. 297 – 316. </w:t>
      </w:r>
      <w:r w:rsidR="00C75B8C" w:rsidRPr="00C75B8C">
        <w:rPr>
          <w:rFonts w:ascii="Arial" w:eastAsia="Times New Roman" w:hAnsi="Arial" w:cs="Arial"/>
          <w:b/>
          <w:i/>
          <w:sz w:val="20"/>
          <w:szCs w:val="20"/>
          <w:lang w:val="sr-Latn-RS"/>
        </w:rPr>
        <w:t>Anđela Nikolić</w:t>
      </w:r>
    </w:p>
    <w:p w:rsidR="008C7941" w:rsidRDefault="004D453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FILM</w:t>
      </w:r>
      <w:r>
        <w:rPr>
          <w:rFonts w:ascii="Arial" w:eastAsia="Times New Roman" w:hAnsi="Arial" w:cs="Arial"/>
          <w:b/>
          <w:bCs/>
          <w:sz w:val="20"/>
          <w:szCs w:val="20"/>
        </w:rPr>
        <w:t>OVI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: Captain Fantastic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Između zidova (Entre les murs/ Class, 2008)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lastRenderedPageBreak/>
        <w:t>Detachment (2011)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</w:rPr>
        <w:t>5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.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10. čas: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deca i mediji  </w:t>
      </w:r>
      <w:bookmarkStart w:id="2" w:name="_Hlk123984242"/>
    </w:p>
    <w:bookmarkEnd w:id="2"/>
    <w:p w:rsidR="008C7941" w:rsidRDefault="004D45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iCs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L: Slika deteta u medijima:  N. Korać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Nevidljivo dete. Slika deteta u medijima </w:t>
      </w:r>
    </w:p>
    <w:p w:rsidR="008C7941" w:rsidRDefault="004D45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sr-Latn-RS"/>
        </w:rPr>
      </w:pPr>
      <w:r>
        <w:rPr>
          <w:rFonts w:ascii="Arial" w:eastAsia="Times New Roman" w:hAnsi="Arial" w:cs="Arial"/>
          <w:iCs/>
          <w:sz w:val="20"/>
          <w:szCs w:val="20"/>
          <w:lang w:val="sr-Latn-RS"/>
        </w:rPr>
        <w:t>Deca kao korisnici medija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 </w:t>
      </w:r>
    </w:p>
    <w:p w:rsidR="008C7941" w:rsidRDefault="004D45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iCs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deca i internet - L: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Čejko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Meri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(2019) 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  <w:lang w:val="en-GB"/>
        </w:rPr>
        <w:t>Superpovezani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  <w:lang w:val="en-GB"/>
        </w:rPr>
        <w:t>, 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Beograd: Clio, str. 147 - 152, 179 - 185. 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2</w:t>
      </w:r>
      <w:r>
        <w:rPr>
          <w:rFonts w:ascii="Arial" w:eastAsia="Times New Roman" w:hAnsi="Arial" w:cs="Arial"/>
          <w:b/>
          <w:bCs/>
          <w:sz w:val="20"/>
          <w:szCs w:val="20"/>
        </w:rPr>
        <w:t>0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</w:rPr>
        <w:t>5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.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11. čas: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Deca, bezbednost i nasilje  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Latn-RS"/>
        </w:rPr>
        <w:t>Tomanović. S., M. Petrović (2006)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 “Rizici i bezbednost u susedstvu iz perspektive dece i njihovih roditelja”, u S. Tomanović, ur.  </w:t>
      </w:r>
      <w:r>
        <w:rPr>
          <w:rFonts w:ascii="Arial" w:eastAsia="Times New Roman" w:hAnsi="Arial" w:cs="Arial"/>
          <w:i/>
          <w:sz w:val="20"/>
          <w:szCs w:val="20"/>
          <w:lang w:val="sr-Latn-RS"/>
        </w:rPr>
        <w:t>Društvo u previranju,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 Beograd: ISI FF: 139 - 157. 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PS: nasilje među decom  </w:t>
      </w:r>
    </w:p>
    <w:p w:rsidR="008C7941" w:rsidRDefault="004D45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Cs/>
          <w:sz w:val="20"/>
          <w:szCs w:val="20"/>
          <w:lang w:val="sr-Latn-RS"/>
        </w:rPr>
        <w:t xml:space="preserve">Vršnjačko rodno zasnovano nasilje L:  UNICEF - Istraživanje rodno zasnovanog </w:t>
      </w:r>
      <w:r>
        <w:rPr>
          <w:rFonts w:ascii="Arial" w:eastAsia="Times New Roman" w:hAnsi="Arial" w:cs="Arial"/>
          <w:bCs/>
          <w:sz w:val="20"/>
          <w:szCs w:val="20"/>
          <w:lang w:val="sr-Latn-RS"/>
        </w:rPr>
        <w:t>nasilja u školama - izveštaj (2015), poglavlja: Sažetak, Uvod, Zaključak, Preporuke</w:t>
      </w:r>
      <w:r>
        <w:rPr>
          <w:rFonts w:ascii="Arial" w:eastAsia="Times New Roman" w:hAnsi="Arial" w:cs="Arial"/>
          <w:b/>
          <w:i/>
          <w:sz w:val="20"/>
          <w:szCs w:val="20"/>
          <w:lang w:val="sr-Latn-RS"/>
        </w:rPr>
        <w:t xml:space="preserve"> Marija Horvat</w:t>
      </w:r>
    </w:p>
    <w:p w:rsidR="008C7941" w:rsidRDefault="004D45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Internet  i vršnjačko nasilje </w:t>
      </w:r>
      <w:r w:rsidR="00C75B8C" w:rsidRPr="00C75B8C">
        <w:rPr>
          <w:rFonts w:ascii="Arial" w:eastAsia="Times New Roman" w:hAnsi="Arial" w:cs="Arial"/>
          <w:b/>
          <w:i/>
          <w:sz w:val="20"/>
          <w:szCs w:val="20"/>
          <w:lang w:val="sr-Latn-RS"/>
        </w:rPr>
        <w:t>Maja Šokčić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FILM: In a Better World  (2010)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2</w:t>
      </w: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</w:rPr>
        <w:t>5</w:t>
      </w: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.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12. čas: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istraživanja o deci i istraživanja sa decom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>L: A. Solberg «Izazov istraživanja deteta: od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 «biti» do «delati», u: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Sociologija detinjstva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str. 169 – 185. </w:t>
      </w:r>
    </w:p>
    <w:p w:rsidR="008C7941" w:rsidRDefault="008C7941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>teorijske paradigme u sociologiji detinjstva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L: A. Džejms, K. Dženks, A. Praut «Teoretisanje o detinjstvu», u: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 xml:space="preserve">Sociologija detinjstva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str. 142 – 166. 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>završna diskusija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i/>
          <w:sz w:val="20"/>
          <w:szCs w:val="20"/>
          <w:lang w:val="sr-Latn-RS"/>
        </w:rPr>
      </w:pP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Latn-RS"/>
        </w:rPr>
        <w:t xml:space="preserve">Deo seminarske literature: 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Arijes, F. (1989)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>Vekovi detinjstva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; Beograd: ZUNS, 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val="sr-Latn-RS"/>
        </w:rPr>
      </w:pPr>
      <w:r>
        <w:rPr>
          <w:rFonts w:ascii="Arial" w:eastAsia="Times New Roman" w:hAnsi="Arial" w:cs="Arial"/>
          <w:bCs/>
          <w:sz w:val="20"/>
          <w:szCs w:val="20"/>
          <w:lang w:val="sr-Latn-RS"/>
        </w:rPr>
        <w:t>Grupa autora (2006): «Dečji rad u Srbiji», Beograd: CPD.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iCs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Korać, N. i Vranješević, J. (2006): </w:t>
      </w:r>
      <w:r>
        <w:rPr>
          <w:rFonts w:ascii="Arial" w:eastAsia="Times New Roman" w:hAnsi="Arial" w:cs="Arial"/>
          <w:i/>
          <w:sz w:val="20"/>
          <w:szCs w:val="20"/>
          <w:lang w:val="sr-Latn-RS"/>
        </w:rPr>
        <w:t>Nevidljivo dete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. </w:t>
      </w:r>
      <w:r>
        <w:rPr>
          <w:rFonts w:ascii="Arial" w:eastAsia="Times New Roman" w:hAnsi="Arial" w:cs="Arial"/>
          <w:i/>
          <w:sz w:val="20"/>
          <w:szCs w:val="20"/>
          <w:lang w:val="sr-Latn-RS"/>
        </w:rPr>
        <w:t xml:space="preserve">Slika deteta u medijima, </w:t>
      </w:r>
      <w:r>
        <w:rPr>
          <w:rFonts w:ascii="Arial" w:eastAsia="Times New Roman" w:hAnsi="Arial" w:cs="Arial"/>
          <w:sz w:val="20"/>
          <w:szCs w:val="20"/>
          <w:lang w:val="sr-Latn-RS"/>
        </w:rPr>
        <w:t>Beograd: Centar za primenjenu psiholo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giju. 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Tomanović, S. “Životni stil porodice i svakodnevni život deteta«, u </w:t>
      </w:r>
      <w:r>
        <w:rPr>
          <w:rFonts w:ascii="Arial" w:eastAsia="Times New Roman" w:hAnsi="Arial" w:cs="Arial"/>
          <w:i/>
          <w:iCs/>
          <w:sz w:val="20"/>
          <w:szCs w:val="20"/>
          <w:lang w:val="sr-Latn-RS"/>
        </w:rPr>
        <w:t>Zborniku radova Filozofskog fakulteta</w:t>
      </w:r>
      <w:r>
        <w:rPr>
          <w:rFonts w:ascii="Arial" w:eastAsia="Times New Roman" w:hAnsi="Arial" w:cs="Arial"/>
          <w:sz w:val="20"/>
          <w:szCs w:val="20"/>
          <w:lang w:val="sr-Latn-RS"/>
        </w:rPr>
        <w:t>, Spomenica Mihaila Popovića, No. XVII,  2002.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Tomanović, S. “Detinjstvo u istoriji, između ideje i prakse” </w:t>
      </w:r>
      <w:r>
        <w:rPr>
          <w:rFonts w:ascii="Arial" w:eastAsia="Times New Roman" w:hAnsi="Arial" w:cs="Arial"/>
          <w:i/>
          <w:sz w:val="20"/>
          <w:szCs w:val="20"/>
          <w:lang w:val="sr-Latn-RS"/>
        </w:rPr>
        <w:t>Sociologija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 3/1996, str. 429-443.</w:t>
      </w:r>
    </w:p>
    <w:p w:rsidR="008C7941" w:rsidRDefault="008C7941">
      <w:pPr>
        <w:spacing w:after="120" w:line="240" w:lineRule="auto"/>
        <w:ind w:left="360" w:right="57"/>
        <w:jc w:val="both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8C7941" w:rsidRDefault="004D453A">
      <w:pPr>
        <w:spacing w:after="120" w:line="240" w:lineRule="auto"/>
        <w:ind w:left="360" w:right="57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Latn-RS"/>
        </w:rPr>
        <w:t>Tomanović. S., M. Petrović (2006)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 “Rizici i bezbednost u susedstvu iz perspektive dece i njihovih roditelja”, u S. Tomanović, ur.  </w:t>
      </w:r>
      <w:r>
        <w:rPr>
          <w:rFonts w:ascii="Arial" w:eastAsia="Times New Roman" w:hAnsi="Arial" w:cs="Arial"/>
          <w:i/>
          <w:sz w:val="20"/>
          <w:szCs w:val="20"/>
          <w:lang w:val="sr-Latn-RS"/>
        </w:rPr>
        <w:t>Društvo u previranju,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 Beograd: ISI FF: 139 - 157.</w:t>
      </w: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Tomanović – Mihajlović, S. (1997) </w:t>
      </w:r>
      <w:r>
        <w:rPr>
          <w:rFonts w:ascii="Arial" w:eastAsia="Times New Roman" w:hAnsi="Arial" w:cs="Arial"/>
          <w:i/>
          <w:sz w:val="20"/>
          <w:szCs w:val="20"/>
          <w:lang w:val="sr-Latn-RS"/>
        </w:rPr>
        <w:t xml:space="preserve">Detinjstvo u Rakovici, </w:t>
      </w:r>
      <w:r>
        <w:rPr>
          <w:rFonts w:ascii="Arial" w:eastAsia="Times New Roman" w:hAnsi="Arial" w:cs="Arial"/>
          <w:sz w:val="20"/>
          <w:szCs w:val="20"/>
          <w:lang w:val="sr-Latn-RS"/>
        </w:rPr>
        <w:t>ISI FF, Beograd.</w:t>
      </w:r>
    </w:p>
    <w:p w:rsidR="008C7941" w:rsidRDefault="008C79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firstLine="360"/>
        <w:jc w:val="both"/>
        <w:rPr>
          <w:rFonts w:ascii="Arial" w:eastAsia="Symbol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UNICEF (2004): </w:t>
      </w:r>
      <w:r>
        <w:rPr>
          <w:rFonts w:ascii="Arial" w:eastAsia="Times New Roman" w:hAnsi="Arial" w:cs="Arial"/>
          <w:i/>
          <w:sz w:val="20"/>
          <w:szCs w:val="20"/>
          <w:lang w:val="sr-Latn-RS"/>
        </w:rPr>
        <w:t>Siromaštvo sa mnogo lica.</w:t>
      </w:r>
    </w:p>
    <w:p w:rsidR="008C7941" w:rsidRDefault="008C7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      Žegarac, N. (2007): </w:t>
      </w:r>
      <w:r>
        <w:rPr>
          <w:rFonts w:ascii="Arial" w:eastAsia="Times New Roman" w:hAnsi="Arial" w:cs="Arial"/>
          <w:i/>
          <w:sz w:val="20"/>
          <w:szCs w:val="20"/>
          <w:lang w:val="sr-Latn-RS"/>
        </w:rPr>
        <w:t>Deca govore.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 Beograd: Save the children. </w:t>
      </w:r>
    </w:p>
    <w:p w:rsidR="008C7941" w:rsidRDefault="008C7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Latn-RS"/>
        </w:rPr>
        <w:t xml:space="preserve">      Žegarac, N. (200  ): </w:t>
      </w:r>
      <w:r>
        <w:rPr>
          <w:rFonts w:ascii="Arial" w:eastAsia="Times New Roman" w:hAnsi="Arial" w:cs="Arial"/>
          <w:i/>
          <w:sz w:val="20"/>
          <w:szCs w:val="20"/>
          <w:lang w:val="sr-Latn-RS"/>
        </w:rPr>
        <w:t>Deca koja čekaju</w:t>
      </w:r>
    </w:p>
    <w:p w:rsidR="008C7941" w:rsidRDefault="008C794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8C7941" w:rsidRDefault="004D453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sz w:val="20"/>
          <w:szCs w:val="20"/>
          <w:lang w:val="sr-Latn-RS"/>
        </w:rPr>
        <w:t xml:space="preserve">Napomena: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prema ovoj zamisli, studenti kroz pripreme za predavanja, pripremu i učestvovanje na proseminarima i radionicama prelaze najveći deo programa. Svi studenti se čitanjem literature </w:t>
      </w:r>
      <w:r>
        <w:rPr>
          <w:rFonts w:ascii="Arial" w:eastAsia="Times New Roman" w:hAnsi="Arial" w:cs="Arial"/>
          <w:sz w:val="20"/>
          <w:szCs w:val="20"/>
          <w:lang w:val="sr-Latn-RS"/>
        </w:rPr>
        <w:lastRenderedPageBreak/>
        <w:t>predviđene za konkretan seminar pripremaju za diskusiju, dok studenti koji su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 zaduženi za uvodno izlaganje pripremaju proseminar. Nakon toga (sredinom </w:t>
      </w:r>
      <w:proofErr w:type="spellStart"/>
      <w:r>
        <w:rPr>
          <w:rFonts w:ascii="Arial" w:eastAsia="Times New Roman" w:hAnsi="Arial" w:cs="Arial"/>
          <w:sz w:val="20"/>
          <w:szCs w:val="20"/>
        </w:rPr>
        <w:t>juna</w:t>
      </w:r>
      <w:proofErr w:type="spellEnd"/>
      <w:r>
        <w:rPr>
          <w:rFonts w:ascii="Arial" w:eastAsia="Times New Roman" w:hAnsi="Arial" w:cs="Arial"/>
          <w:sz w:val="20"/>
          <w:szCs w:val="20"/>
          <w:lang w:val="sr-Latn-RS"/>
        </w:rPr>
        <w:t xml:space="preserve">) predaju pisani ispitni rad na temu koju su izabrali na početku kursa (recimo nakon mesec dana). Ispitni rad </w:t>
      </w:r>
      <w:r>
        <w:rPr>
          <w:rFonts w:ascii="Arial" w:eastAsia="Times New Roman" w:hAnsi="Arial" w:cs="Arial"/>
          <w:sz w:val="20"/>
          <w:szCs w:val="20"/>
        </w:rPr>
        <w:t xml:space="preserve">je 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predlog istraživačkog projekta na izabranu temu od onih koje se </w:t>
      </w:r>
      <w:r>
        <w:rPr>
          <w:rFonts w:ascii="Arial" w:eastAsia="Times New Roman" w:hAnsi="Arial" w:cs="Arial"/>
          <w:sz w:val="20"/>
          <w:szCs w:val="20"/>
          <w:lang w:val="sr-Latn-RS"/>
        </w:rPr>
        <w:t>obrađuju tokom kursa. Paralelno u junu je priprema usmenog ispita</w:t>
      </w:r>
      <w:r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  <w:lang w:val="sr-Latn-RS"/>
        </w:rPr>
        <w:t xml:space="preserve"> koji se sastoji usmene odbrane pisanog rada i razgovora o jednoj ili dve teme koje kurs pokriva.</w:t>
      </w:r>
    </w:p>
    <w:p w:rsidR="008C7941" w:rsidRDefault="008C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C7941" w:rsidRDefault="008C7941">
      <w:pPr>
        <w:rPr>
          <w:lang w:val="sr-Latn-RS"/>
        </w:rPr>
      </w:pPr>
    </w:p>
    <w:sectPr w:rsidR="008C7941">
      <w:footerReference w:type="even" r:id="rId8"/>
      <w:footerReference w:type="default" r:id="rId9"/>
      <w:pgSz w:w="11906" w:h="16838"/>
      <w:pgMar w:top="1134" w:right="1134" w:bottom="166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41" w:rsidRDefault="004D453A">
      <w:pPr>
        <w:spacing w:line="240" w:lineRule="auto"/>
      </w:pPr>
      <w:r>
        <w:separator/>
      </w:r>
    </w:p>
  </w:endnote>
  <w:endnote w:type="continuationSeparator" w:id="0">
    <w:p w:rsidR="008C7941" w:rsidRDefault="004D4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941" w:rsidRDefault="004D45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7941" w:rsidRDefault="008C79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941" w:rsidRDefault="004D45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C7941" w:rsidRDefault="008C79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41" w:rsidRDefault="004D453A">
      <w:pPr>
        <w:spacing w:after="0"/>
      </w:pPr>
      <w:r>
        <w:separator/>
      </w:r>
    </w:p>
  </w:footnote>
  <w:footnote w:type="continuationSeparator" w:id="0">
    <w:p w:rsidR="008C7941" w:rsidRDefault="004D45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023F"/>
    <w:multiLevelType w:val="multilevel"/>
    <w:tmpl w:val="1D8B023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673858"/>
    <w:multiLevelType w:val="multilevel"/>
    <w:tmpl w:val="4D6738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543069"/>
    <w:multiLevelType w:val="singleLevel"/>
    <w:tmpl w:val="79543069"/>
    <w:lvl w:ilvl="0">
      <w:start w:val="5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6E"/>
    <w:rsid w:val="00013EC1"/>
    <w:rsid w:val="0002673B"/>
    <w:rsid w:val="000818FB"/>
    <w:rsid w:val="00085D1E"/>
    <w:rsid w:val="000A1FF7"/>
    <w:rsid w:val="00190E34"/>
    <w:rsid w:val="00195AAA"/>
    <w:rsid w:val="001C34D6"/>
    <w:rsid w:val="00431A2F"/>
    <w:rsid w:val="00453A36"/>
    <w:rsid w:val="004D453A"/>
    <w:rsid w:val="00500B19"/>
    <w:rsid w:val="00511F68"/>
    <w:rsid w:val="00593BC8"/>
    <w:rsid w:val="005B7E51"/>
    <w:rsid w:val="005C4846"/>
    <w:rsid w:val="005E346E"/>
    <w:rsid w:val="00605671"/>
    <w:rsid w:val="006171DE"/>
    <w:rsid w:val="006D4A41"/>
    <w:rsid w:val="00715EEC"/>
    <w:rsid w:val="00813673"/>
    <w:rsid w:val="00890AAC"/>
    <w:rsid w:val="008A1911"/>
    <w:rsid w:val="008C7941"/>
    <w:rsid w:val="008D5259"/>
    <w:rsid w:val="00905CCB"/>
    <w:rsid w:val="009642C3"/>
    <w:rsid w:val="009A20FD"/>
    <w:rsid w:val="009A27F3"/>
    <w:rsid w:val="009D579B"/>
    <w:rsid w:val="00A41A6F"/>
    <w:rsid w:val="00A81434"/>
    <w:rsid w:val="00AF18E0"/>
    <w:rsid w:val="00B231C9"/>
    <w:rsid w:val="00B2432B"/>
    <w:rsid w:val="00BD1BFC"/>
    <w:rsid w:val="00C64705"/>
    <w:rsid w:val="00C75B8C"/>
    <w:rsid w:val="00CB1654"/>
    <w:rsid w:val="00D0211D"/>
    <w:rsid w:val="00D13A52"/>
    <w:rsid w:val="00E861F8"/>
    <w:rsid w:val="00EA1522"/>
    <w:rsid w:val="00FB1FD2"/>
    <w:rsid w:val="33C023A2"/>
    <w:rsid w:val="54C00FB8"/>
    <w:rsid w:val="6C30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</cp:revision>
  <dcterms:created xsi:type="dcterms:W3CDTF">2024-03-10T08:05:00Z</dcterms:created>
  <dcterms:modified xsi:type="dcterms:W3CDTF">2026-03-04T15:28:00Z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CFB5ADA8D7A342CC9FAC08AD5AC4BA7C_12</vt:lpwstr>
  </property>
</Properties>
</file>