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3695" w:rsidRPr="00553695" w:rsidRDefault="00553695" w:rsidP="00553695">
      <w:pPr>
        <w:pStyle w:val="Heading1"/>
        <w:jc w:val="center"/>
        <w:rPr>
          <w:lang w:val="sr-Latn-RS"/>
        </w:rPr>
      </w:pPr>
      <w:r>
        <w:rPr>
          <w:lang w:val="sr-Latn-RS"/>
        </w:rPr>
        <w:t>T</w:t>
      </w:r>
      <w:bookmarkStart w:id="0" w:name="_GoBack"/>
      <w:bookmarkEnd w:id="0"/>
      <w:r w:rsidRPr="00553695">
        <w:rPr>
          <w:lang w:val="sr-Latn-RS"/>
        </w:rPr>
        <w:t xml:space="preserve">ranzcija </w:t>
      </w:r>
      <w:r>
        <w:rPr>
          <w:lang w:val="sr-Latn-RS"/>
        </w:rPr>
        <w:t xml:space="preserve">u odraslost </w:t>
      </w:r>
      <w:r w:rsidRPr="00553695">
        <w:rPr>
          <w:lang w:val="sr-Latn-RS"/>
        </w:rPr>
        <w:t>i zadovoljstvo</w:t>
      </w:r>
    </w:p>
    <w:p w:rsidR="00553695" w:rsidRPr="00553695" w:rsidRDefault="00553695" w:rsidP="00553695">
      <w:pPr>
        <w:spacing w:after="0" w:line="276" w:lineRule="auto"/>
        <w:jc w:val="both"/>
        <w:rPr>
          <w:rFonts w:ascii="Times New Roman" w:hAnsi="Times New Roman" w:cs="Times New Roman"/>
          <w:sz w:val="24"/>
          <w:lang w:val="sr-Latn-RS"/>
        </w:rPr>
      </w:pPr>
    </w:p>
    <w:p w:rsidR="00553695" w:rsidRPr="00553695" w:rsidRDefault="00553695" w:rsidP="00553695">
      <w:pPr>
        <w:spacing w:after="0" w:line="276" w:lineRule="auto"/>
        <w:jc w:val="both"/>
        <w:rPr>
          <w:rFonts w:ascii="Times New Roman" w:hAnsi="Times New Roman" w:cs="Times New Roman"/>
          <w:sz w:val="24"/>
          <w:lang w:val="sr-Latn-RS"/>
        </w:rPr>
      </w:pPr>
      <w:r w:rsidRPr="00553695">
        <w:rPr>
          <w:rFonts w:ascii="Times New Roman" w:hAnsi="Times New Roman" w:cs="Times New Roman"/>
          <w:i/>
          <w:sz w:val="24"/>
          <w:lang w:val="sr-Latn-RS"/>
        </w:rPr>
        <w:t>Markeri odraslosti</w:t>
      </w:r>
      <w:r w:rsidRPr="00553695">
        <w:rPr>
          <w:rFonts w:ascii="Times New Roman" w:hAnsi="Times New Roman" w:cs="Times New Roman"/>
          <w:sz w:val="24"/>
          <w:lang w:val="sr-Latn-RS"/>
        </w:rPr>
        <w:t xml:space="preserve">. Ključni životni događaji utiču na stepen zadovoljstva životom. Završetak obrazovanja, početak rada, gubitak posla, ulazak u brak, dobijanje deteta, početak samostalnog života (obezbeđivanje nekretnine), razvod, gubitak partnera / supružnika, su neki od događaja koji duboko menjaju odnos osobe prema sebi i okruženju, koja adaptirajući se na novo stanje doživljava povećanje ili smanjenje zadovoljstva u različitim aspektima života. Odnos životnog toka i zadovoljstva je najčešće posredovan osećajem društvene integrisanosti, koja se ogleda u ispunjenosti očekivanja koja mlada osoba ima od sebe, porodice i šire zajednice. Istražujući uzroke osećaja pripadnosti zajednici mladih u Kanadi, Ravanera et al. (2003) polaze od pretpostavke da je integracija mladih rezultat investicija  pojedinaca, porodice ali i zajednice, i da su veće šansae da se mladi brže i funkcionalnije uključe u društvene tokove posredstvom obrazovanja, tržišta rada, volontiranja i participacije i sl., ukoliko im na raspolaganju stoji više resursa (finansijskog, socijalnog, kulturnog kapitala). Pichler (2006) ovu ideju razrađuje, povezujući markere integrisanosti (obrazovanje, radni status, stanovanje, prihode, socijalni kapital, građanski angažman, politički kapital, „finasnijski kapital“ i dr.) sa osećajem zadovoljstva mladih. Koristeći podatke Evropskog društvenog istraživanja on pokazuje da viši stepen tržišne, porodične, socijalne i političke intgrisanosti mladih nosi sa sobom viši stepen zadovoljstva. Iako tržišni i politički mehanizmi predstavljaju veoma važnu sferu integracije, biti integrisan u različitim društvima može imati i posebne konotacije. Tako se u nekim društvima, poput našeg, ulazak u brak i zasnivanje porodice, vidi kao ključni marker odraslosti, samim tim i prihvaćenosti kao odrasle i odgovorne osobe (Tomanović, Ignjatović, ) a ispunjenost ovih normativnih očekivanja sa sobom nosi određene društvene nagrade i veći osećaj zadovoljstva. Imajući navedno u vidu, Diener (2013) navodi rezultate više analiza koji pokazuju da su srećniji oni pojedinci koji žive u skladu sa društvenim normama i vrednostima. </w:t>
      </w:r>
    </w:p>
    <w:p w:rsidR="00553695" w:rsidRPr="00553695" w:rsidRDefault="00553695" w:rsidP="00553695">
      <w:pPr>
        <w:spacing w:after="0" w:line="276" w:lineRule="auto"/>
        <w:jc w:val="both"/>
        <w:rPr>
          <w:rFonts w:ascii="Times New Roman" w:hAnsi="Times New Roman" w:cs="Times New Roman"/>
          <w:sz w:val="24"/>
          <w:lang w:val="sr-Latn-RS"/>
        </w:rPr>
      </w:pPr>
    </w:p>
    <w:p w:rsidR="00553695" w:rsidRPr="00553695" w:rsidRDefault="00553695" w:rsidP="00553695">
      <w:pPr>
        <w:spacing w:after="0" w:line="276" w:lineRule="auto"/>
        <w:jc w:val="both"/>
        <w:rPr>
          <w:rFonts w:ascii="Times New Roman" w:hAnsi="Times New Roman" w:cs="Times New Roman"/>
          <w:sz w:val="24"/>
          <w:lang w:val="sr-Latn-RS"/>
        </w:rPr>
      </w:pPr>
      <w:r w:rsidRPr="00553695">
        <w:rPr>
          <w:rFonts w:ascii="Times New Roman" w:hAnsi="Times New Roman" w:cs="Times New Roman"/>
          <w:i/>
          <w:sz w:val="24"/>
          <w:lang w:val="sr-Latn-RS"/>
        </w:rPr>
        <w:t>Zaposlenje i finansijska autonomija</w:t>
      </w:r>
      <w:r w:rsidRPr="00553695">
        <w:rPr>
          <w:rFonts w:ascii="Times New Roman" w:hAnsi="Times New Roman" w:cs="Times New Roman"/>
          <w:sz w:val="24"/>
          <w:lang w:val="sr-Latn-RS"/>
        </w:rPr>
        <w:t xml:space="preserve">. Nezavisno od značaja koje ima prvo zaposlenje, istraživanja pokazuju da su nezaposlenost i finansijska zavisnost, bilo do roditelja, partnera ili institucija, negativno povezane sa osećajem zadovoljstva (Lelkes, 2006; Di Tella et al 2001). Nezaposlenost, a posebno dugoročna nezaposlenost je usko povezana sa nezadovoljstvom, osećajem bespomoćnosti i niskim samopoštovanjem (Dockery, 2003; Waldron, 2010). Winkelman (2006) na panel podacima iz Nemačke pokazuje da smanjenje zadovoljstva koje nastaje nakon gubitka posla ne može da se kompenzuje ni socijalnim kapitalom osobe, ukazujući na značaj koji sfera rada ima u današnjem svetu. Clark, et. al., (2004) pokazuju da gubitak zaposlenja snižava zadovoljstvo životom, i da se ni posle ponovnog zaposlenja stepen zadovoljstva ne vraća na isti nivo.  Iako veza između zadovoljstva i zaposlenja najčešće ima kauzalan odnos, gde zaposlenje vodi višem stepenu zadovoljstva, a nezaposlenost nižem, odnos može imati i obrnut smer, tako da osobe koje su zadovoljnije životom imaju veće šanse da zadrže ili pronađu nov posao, kao i da one koje su manje zadovoljne imaju veće šanse da budu duže nezaposlene. </w:t>
      </w:r>
    </w:p>
    <w:p w:rsidR="00553695" w:rsidRPr="00553695" w:rsidRDefault="00553695" w:rsidP="00553695">
      <w:pPr>
        <w:spacing w:after="0" w:line="276" w:lineRule="auto"/>
        <w:jc w:val="both"/>
        <w:rPr>
          <w:rFonts w:ascii="Times New Roman" w:hAnsi="Times New Roman" w:cs="Times New Roman"/>
          <w:sz w:val="24"/>
          <w:lang w:val="sr-Latn-RS"/>
        </w:rPr>
      </w:pPr>
      <w:r w:rsidRPr="00553695">
        <w:rPr>
          <w:rFonts w:ascii="Times New Roman" w:hAnsi="Times New Roman" w:cs="Times New Roman"/>
          <w:i/>
          <w:sz w:val="24"/>
          <w:lang w:val="sr-Latn-RS"/>
        </w:rPr>
        <w:t>Brak i roditeljstvo</w:t>
      </w:r>
      <w:r w:rsidRPr="00553695">
        <w:rPr>
          <w:rFonts w:ascii="Times New Roman" w:hAnsi="Times New Roman" w:cs="Times New Roman"/>
          <w:sz w:val="24"/>
          <w:lang w:val="sr-Latn-RS"/>
        </w:rPr>
        <w:t xml:space="preserve">. Usamljenost je jedan od najčešćih uzroka nezadovoljstva, zbog čega su partnerstvo i brak usko povezani sa stepenom zadovoljstva. Blanchower i Oswald (2004) poredeći SAD i VB prepoznaju pozitivan efekat braka i zajedničkog života na ukupno </w:t>
      </w:r>
      <w:r w:rsidRPr="00553695">
        <w:rPr>
          <w:rFonts w:ascii="Times New Roman" w:hAnsi="Times New Roman" w:cs="Times New Roman"/>
          <w:sz w:val="24"/>
          <w:lang w:val="sr-Latn-RS"/>
        </w:rPr>
        <w:lastRenderedPageBreak/>
        <w:t xml:space="preserve">zadovoljstvo životom u obe zemlje. Do takvih nalaza dolazi Dickery (2003) među mladima u Australiji, a slični rezultati su potvrđeni i na drugim mestima. Headey i saradnici (1991) prepoznaju da oni koji su u braku su u proseku zadovoljniji od onih koji nisu, ali i da imaju veće šanse da sačuvaju „srećan brak“, a analize takođe pokazuju da stepen zadovoljstva partnerskom vezom može biti još bolji prediktor životnog zadovljstva (Fehr, Harasymchuk, 2018). Koliko su parterski odnosi značajni ukazuju rezultati u više različitih istraživanja gde se među najznačajnije faktore pada zadovoljstva izdvajaju smrt supružnika, razvod i separacija (Diener, et. al., 2013). </w:t>
      </w:r>
    </w:p>
    <w:p w:rsidR="00553695" w:rsidRPr="00553695" w:rsidRDefault="00553695" w:rsidP="00553695">
      <w:pPr>
        <w:spacing w:after="0" w:line="276" w:lineRule="auto"/>
        <w:jc w:val="both"/>
        <w:rPr>
          <w:rFonts w:ascii="Times New Roman" w:hAnsi="Times New Roman" w:cs="Times New Roman"/>
          <w:sz w:val="24"/>
          <w:lang w:val="sr-Latn-RS"/>
        </w:rPr>
      </w:pPr>
      <w:r w:rsidRPr="00553695">
        <w:rPr>
          <w:rFonts w:ascii="Times New Roman" w:hAnsi="Times New Roman" w:cs="Times New Roman"/>
          <w:sz w:val="24"/>
          <w:lang w:val="sr-Latn-RS"/>
        </w:rPr>
        <w:t>Postajanje roditeljem, odnosno dobijanje deteta može imati različite efekte na zadovoljstvo životom. Istraživanja širom sveta daju dovoljno dokaza i da roditeljstvo sa sobom donosi viši stepen (Haller, Hader, 2006), ali i niži stepen zadovoljstva (Stanca, 2009, Twenge et al.,2003) u odnosu na period pre dobijanja deteta. Kako Galatzer-Levy i saradnici (2011) pokazuju ne postoji jedan jedinstven trend, već će jedan deo roditelja nakon dobijana deteta imati viši, neki će imati niži a neki će imati isti nivo zadovljstva. Jedan deo ovih razlika može biti rodnih režima, odnosna načina usklađivnaja različitih sfera kod muškaraca i žena. Istraživanja pokazuju da ukoliko postoji konflikt između profesionalne i privatne sfere da će zadovoljstvo i profesionalnim i porodičnim domenom biti niže (Kossek, Ozeki 1998; Parasuraman, Simmers 2001:).</w:t>
      </w:r>
    </w:p>
    <w:p w:rsidR="00553695" w:rsidRPr="00553695" w:rsidRDefault="00553695" w:rsidP="00553695">
      <w:pPr>
        <w:spacing w:after="0" w:line="276" w:lineRule="auto"/>
        <w:jc w:val="both"/>
        <w:rPr>
          <w:rFonts w:ascii="Times New Roman" w:hAnsi="Times New Roman" w:cs="Times New Roman"/>
          <w:sz w:val="24"/>
          <w:lang w:val="sr-Latn-RS"/>
        </w:rPr>
      </w:pPr>
      <w:r w:rsidRPr="00553695">
        <w:rPr>
          <w:rFonts w:ascii="Times New Roman" w:hAnsi="Times New Roman" w:cs="Times New Roman"/>
          <w:i/>
          <w:sz w:val="24"/>
          <w:lang w:val="sr-Latn-RS"/>
        </w:rPr>
        <w:t>Dejstvenost.</w:t>
      </w:r>
      <w:r w:rsidRPr="00553695">
        <w:rPr>
          <w:rFonts w:ascii="Times New Roman" w:hAnsi="Times New Roman" w:cs="Times New Roman"/>
          <w:sz w:val="24"/>
          <w:lang w:val="sr-Latn-RS"/>
        </w:rPr>
        <w:t xml:space="preserve"> Završetak obrazovanja, dobijanje posla, osamostaljivanje od roditelja i zasnivanje sopstvene porodice sa sobom nose veći stepen osećaja autonomije koji je značajan za osećaj zadovoljstva, ali osećaj autonomije i kontrole nad sopstvenim životom može imati i direktnu, a ne samo indirektnu, vezu sa osećajem zadovoljstva. Tako one osobe koje inače imaju viši stepen kontrole nad sopstvenim životom, bez obzira na objektivne okolnosti pokazuju i viši stepen zadovoljstva u poređenju sa onima koji imaju nizak osećaj kontrole. Ove veze testraju Katab i Fenton na podacima mladih iz Bristola (UK) i zaključuju da je jedan deo zadovoljstva u direktnoj vezi sa markerima odraslosti, jedan deo je u direktnoj vezi sa osećajem kontrole dok je određeni deo zadovoljstva deo zajedničke varijanse markera odraslosti i osećaja kontrole. Ova teza je na domaćim podacima mladih 2012. godine proveravana i, uz nešto drugačiju metodolgiju i skale, utvrđeni su direktni efekti markera odraslosti i direktni efekti osećaja funkcionalne autonomije, ali ne i njihov združen efekat, ukazujući da markeri odraslosti nisu nužno povezani sa osećajem autonomije u domaćem kontekstu (Stanojević, Tomanović, Ljubičić, 2015).   </w:t>
      </w:r>
    </w:p>
    <w:p w:rsidR="00553695" w:rsidRPr="00553695" w:rsidRDefault="00553695" w:rsidP="00553695">
      <w:pPr>
        <w:spacing w:after="0" w:line="276" w:lineRule="auto"/>
        <w:jc w:val="both"/>
        <w:rPr>
          <w:rFonts w:ascii="Times New Roman" w:hAnsi="Times New Roman" w:cs="Times New Roman"/>
          <w:sz w:val="24"/>
          <w:lang w:val="sr-Latn-RS"/>
        </w:rPr>
      </w:pPr>
    </w:p>
    <w:p w:rsidR="00553695" w:rsidRPr="00553695" w:rsidRDefault="00553695" w:rsidP="00553695">
      <w:pPr>
        <w:keepNext/>
        <w:keepLines/>
        <w:spacing w:before="40" w:after="0"/>
        <w:outlineLvl w:val="1"/>
        <w:rPr>
          <w:rFonts w:ascii="Times New Roman" w:eastAsiaTheme="majorEastAsia" w:hAnsi="Times New Roman" w:cs="Times New Roman"/>
          <w:color w:val="2E74B5" w:themeColor="accent1" w:themeShade="BF"/>
          <w:sz w:val="26"/>
          <w:szCs w:val="26"/>
          <w:lang w:val="sr-Latn-RS"/>
        </w:rPr>
      </w:pPr>
      <w:r w:rsidRPr="00553695">
        <w:rPr>
          <w:rFonts w:ascii="Times New Roman" w:eastAsiaTheme="majorEastAsia" w:hAnsi="Times New Roman" w:cs="Times New Roman"/>
          <w:color w:val="2E74B5" w:themeColor="accent1" w:themeShade="BF"/>
          <w:sz w:val="26"/>
          <w:szCs w:val="26"/>
          <w:lang w:val="sr-Latn-RS"/>
        </w:rPr>
        <w:t>Kontekst Srbije – rad, porodica, nezavisnost i zadovoljstvo</w:t>
      </w:r>
    </w:p>
    <w:p w:rsidR="00553695" w:rsidRPr="00553695" w:rsidRDefault="00553695" w:rsidP="00553695">
      <w:pPr>
        <w:jc w:val="both"/>
        <w:rPr>
          <w:rFonts w:ascii="Times New Roman" w:hAnsi="Times New Roman" w:cs="Times New Roman"/>
          <w:lang w:val="sr-Latn-RS"/>
        </w:rPr>
      </w:pPr>
    </w:p>
    <w:p w:rsidR="00553695" w:rsidRPr="00553695" w:rsidRDefault="00553695" w:rsidP="00553695">
      <w:pPr>
        <w:spacing w:line="276" w:lineRule="auto"/>
        <w:jc w:val="both"/>
        <w:rPr>
          <w:rFonts w:ascii="Times New Roman" w:hAnsi="Times New Roman" w:cs="Times New Roman"/>
          <w:sz w:val="24"/>
          <w:lang w:val="sr-Latn-RS"/>
        </w:rPr>
      </w:pPr>
      <w:r w:rsidRPr="00553695">
        <w:rPr>
          <w:rFonts w:ascii="Times New Roman" w:hAnsi="Times New Roman" w:cs="Times New Roman"/>
          <w:sz w:val="24"/>
          <w:lang w:val="sr-Latn-RS"/>
        </w:rPr>
        <w:t xml:space="preserve">Poređenje madih ljudi starosti 18-29 godina u Srbiji sa vršnjacima u Evropi ukazuje nam da je ukupno zadovoljstvo životom mladih u Srbiji nešto iznad niova evropskog proseka (7,2) i iznosi 7,3.  Kada je reč o zadovoljstvu poslom koji mladi obavljalju, Srbija se sa prosečnim skorom 7 nalazi u grupi zemalja istoka, jugoistoka i juga Evrope koje karakteriše nizak stepen zadovoljstva poslom.  Nešto je drugačija situacija kada posmatramo zadovoljstvo porodicom. Prosečan skor mladih u Srbiji je 8.4 (evropski prosek je 8) i po stepenu zadovoljstva u ovoj sferi se nalaze među vršnjacima iz zemalja sa višim nivoom zadovoljstva porodičnim odnosima. Ovaj nalaz nas još jednom upućuje na zaključak da zemlje u kojima postoji još uvek jako </w:t>
      </w:r>
      <w:r w:rsidRPr="00553695">
        <w:rPr>
          <w:rFonts w:ascii="Times New Roman" w:hAnsi="Times New Roman" w:cs="Times New Roman"/>
          <w:sz w:val="24"/>
          <w:lang w:val="sr-Latn-RS"/>
        </w:rPr>
        <w:lastRenderedPageBreak/>
        <w:t xml:space="preserve">nasleđe kolektivizma i značaj porodičnih razmena, oslonac koji porodica pruža mladima može biti izvor zadovoljstva, ali i kompenzacija za nepovoljnu poziciju na tržištu rada.  </w:t>
      </w:r>
    </w:p>
    <w:p w:rsidR="00553695" w:rsidRPr="00553695" w:rsidRDefault="00553695" w:rsidP="00553695">
      <w:pPr>
        <w:jc w:val="both"/>
        <w:rPr>
          <w:rFonts w:ascii="Times New Roman" w:hAnsi="Times New Roman" w:cs="Times New Roman"/>
          <w:lang w:val="sr-Latn-RS"/>
        </w:rPr>
      </w:pPr>
      <w:r w:rsidRPr="00553695">
        <w:rPr>
          <w:rFonts w:ascii="Times New Roman" w:hAnsi="Times New Roman" w:cs="Times New Roman"/>
          <w:noProof/>
          <w:lang w:eastAsia="en-GB"/>
        </w:rPr>
        <w:drawing>
          <wp:inline distT="0" distB="0" distL="0" distR="0" wp14:anchorId="41E81FD8" wp14:editId="011A7B50">
            <wp:extent cx="5760720" cy="3717290"/>
            <wp:effectExtent l="0" t="0" r="11430" b="16510"/>
            <wp:docPr id="33" name="Chart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553695" w:rsidRPr="00553695" w:rsidRDefault="00553695" w:rsidP="00553695">
      <w:pPr>
        <w:jc w:val="both"/>
        <w:rPr>
          <w:rFonts w:ascii="Times New Roman" w:hAnsi="Times New Roman" w:cs="Times New Roman"/>
          <w:sz w:val="24"/>
          <w:lang w:val="sr-Latn-RS"/>
        </w:rPr>
      </w:pPr>
      <w:r w:rsidRPr="00553695">
        <w:rPr>
          <w:rFonts w:ascii="Times New Roman" w:hAnsi="Times New Roman" w:cs="Times New Roman"/>
          <w:sz w:val="24"/>
          <w:lang w:val="sr-Latn-RS"/>
        </w:rPr>
        <w:t xml:space="preserve">Komparativna istraživanja tranzicije u odraslost takođe ukazuju na specifičnosti mladih u Srbiji, specifičnosti koje su karakterisične za zemlje tzv. mediteranskog kulturnog kruga. Mladi u Srbiji u odnosu na svoje vršnjake zapadne i severne Evrope u proseku gotovo deset godina kasne sa prvim poslom, ostvarivanjem finanijske nezavisnosti i zasnivanjem samostalnog domaćinstva (Tomanović, Ignjatović, 2003; Tomanović, 2013). Imajući u vidu promene koje se globalno dešavaju na tržištu rada i koje uključuju fleksbilizaciju rada, rast prekarnih poslova, ograničavanje radnih prava, nestabilnost prihoda i opadanje značaja socijalnih davanja, mogućnost društvene integracije za mlade i unutar jedne periferne evropske ekonomije postaje sve teža, i uz sve veći značaj porodičnih resursa (Tomanović, Stanojević, 2015; 2012). </w:t>
      </w:r>
    </w:p>
    <w:p w:rsidR="00553695" w:rsidRPr="00553695" w:rsidRDefault="00553695" w:rsidP="00553695">
      <w:pPr>
        <w:jc w:val="both"/>
        <w:rPr>
          <w:rFonts w:ascii="Times New Roman" w:hAnsi="Times New Roman" w:cs="Times New Roman"/>
          <w:sz w:val="24"/>
          <w:lang w:val="sr-Latn-RS"/>
        </w:rPr>
      </w:pPr>
      <w:r w:rsidRPr="00553695">
        <w:rPr>
          <w:rFonts w:ascii="Times New Roman" w:hAnsi="Times New Roman" w:cs="Times New Roman"/>
          <w:sz w:val="24"/>
          <w:lang w:val="sr-Latn-RS"/>
        </w:rPr>
        <w:t>Položaj mladih na tržištu rada otkriva nam njihovu značajnu ranjivost prilikom radne tranzicije. Prema podacima Ankete o radnoj snazi, 2015. godine je 35% mladih između 15-29 godina bilo nezaposleno, dok je među onima koji su obavljali neki od poslova oko 55% imalo ugovore za stalno, 37% njih je imao ugovore na određen vreme a ostali su imali povremene ili sezonske radne aranžmane. Ne samo da značajan broj mladih obavlja prekarne poslove, već je i značajan broj onih koji radi a ne ostvaruje prava na plaćeno bolovanje (njih 37,3%), godišnji odmor (37,7%), penzijsko (31,7%) i zdravstveno osiguranje (30,5%). Da se tržište u koje mladi ulaze rapidno menja, ukazuju longitudinalni podaci koji govore o trendu smanjnja učešća mladih koji rade sa ugovorima za stalno</w:t>
      </w:r>
      <w:r w:rsidRPr="00553695">
        <w:rPr>
          <w:rFonts w:ascii="Times New Roman" w:hAnsi="Times New Roman" w:cs="Times New Roman"/>
          <w:sz w:val="24"/>
          <w:vertAlign w:val="superscript"/>
          <w:lang w:val="sr-Latn-RS"/>
        </w:rPr>
        <w:footnoteReference w:id="1"/>
      </w:r>
      <w:r w:rsidRPr="00553695">
        <w:rPr>
          <w:rFonts w:ascii="Times New Roman" w:hAnsi="Times New Roman" w:cs="Times New Roman"/>
          <w:sz w:val="24"/>
          <w:lang w:val="sr-Latn-RS"/>
        </w:rPr>
        <w:t xml:space="preserve">, kao i o rastućoj nesigurnosti koja proizilazi iz rada (Stanojević, 2017). Rodna dimenzija na tržištu rada ukazuje na nešto više stope nezaposlenosti devojaka, i postojanje izvesnog platnog jaza između muškaraca i žena, što dovodi do reprodukcije </w:t>
      </w:r>
      <w:r w:rsidRPr="00553695">
        <w:rPr>
          <w:rFonts w:ascii="Times New Roman" w:hAnsi="Times New Roman" w:cs="Times New Roman"/>
          <w:sz w:val="24"/>
          <w:lang w:val="sr-Latn-RS"/>
        </w:rPr>
        <w:lastRenderedPageBreak/>
        <w:t xml:space="preserve">patrijarhalnih odnosa kako u javnoj tak i u privatnoj sferi. Analize pokazuju da ključne podele na tržištu nastaju zasnivanjem porodice što unutar patrijarhalnog konteksta (kako radnih organizacija tako i porodice) dovodi do toga da se jedan deo žena povuče sa tržišta rada, i da se muškarci u isto intenzivnije uključe (Tomanović, Stanojević, Ljubičić, 2016). Takva podela žene veže čvršće za privatnu sferu, unutar koje gotovo sav domaći rad i negu dece obavlja sama.  </w:t>
      </w:r>
    </w:p>
    <w:p w:rsidR="00553695" w:rsidRPr="00553695" w:rsidRDefault="00553695" w:rsidP="00553695">
      <w:pPr>
        <w:jc w:val="both"/>
        <w:rPr>
          <w:rFonts w:ascii="Times New Roman" w:hAnsi="Times New Roman" w:cs="Times New Roman"/>
          <w:sz w:val="24"/>
          <w:lang w:val="sr-Latn-RS"/>
        </w:rPr>
      </w:pPr>
      <w:r w:rsidRPr="00553695">
        <w:rPr>
          <w:rFonts w:ascii="Times New Roman" w:hAnsi="Times New Roman" w:cs="Times New Roman"/>
          <w:sz w:val="24"/>
          <w:lang w:val="sr-Latn-RS"/>
        </w:rPr>
        <w:t xml:space="preserve">Studije ukazuju na veoma visok stepen finansijske i stambene zavisnosti mladih od porodice porekla (Tomanović, et. al, 2012; Tomanović, Ljubičić, Stanojević, 2016; Tomanović, Stanojević, 2015). Tako je 2015. godine među mladima starosti 15-29 godina bilo gotovo dve trećine finansijski zavisnih od roditelja (61,3%), i čak nešto više of toga (66,9%) onih koji žive u stanu ili kući sa svojim roditeljima. Poređenja sa prethodnim istraživanjima ukazuju da ne dolazi do značajnih promena u pogledu finansijske i stambene samostalnosti mladih tokom poslednje decenije, i da su radna i stambena tranzicije ključni izazovi sa kojima se mladi suočavaju. Pored nedovoljno razvijenog i nepodsticajnog tržišta rada, dodatni izazov je nedostatak institucionalne podrške mladima, što resurse porodice porekla čini ključnim za objašnjenje brzine i kvaliteta tranzicija koje mladi prolaze. Tako se razlike u materijalnom standardu, klasi porekla i socijalnom kapitalu porodice pojavljuju kao ključne pri objašnjenju radnih i stambenih nejednakosti. </w:t>
      </w:r>
    </w:p>
    <w:p w:rsidR="00745D3C" w:rsidRDefault="00745D3C"/>
    <w:sectPr w:rsidR="00745D3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2B06" w:rsidRDefault="00F62B06" w:rsidP="00553695">
      <w:pPr>
        <w:spacing w:after="0" w:line="240" w:lineRule="auto"/>
      </w:pPr>
      <w:r>
        <w:separator/>
      </w:r>
    </w:p>
  </w:endnote>
  <w:endnote w:type="continuationSeparator" w:id="0">
    <w:p w:rsidR="00F62B06" w:rsidRDefault="00F62B06" w:rsidP="005536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2B06" w:rsidRDefault="00F62B06" w:rsidP="00553695">
      <w:pPr>
        <w:spacing w:after="0" w:line="240" w:lineRule="auto"/>
      </w:pPr>
      <w:r>
        <w:separator/>
      </w:r>
    </w:p>
  </w:footnote>
  <w:footnote w:type="continuationSeparator" w:id="0">
    <w:p w:rsidR="00F62B06" w:rsidRDefault="00F62B06" w:rsidP="00553695">
      <w:pPr>
        <w:spacing w:after="0" w:line="240" w:lineRule="auto"/>
      </w:pPr>
      <w:r>
        <w:continuationSeparator/>
      </w:r>
    </w:p>
  </w:footnote>
  <w:footnote w:id="1">
    <w:p w:rsidR="00553695" w:rsidRDefault="00553695" w:rsidP="00553695">
      <w:pPr>
        <w:pStyle w:val="FootnoteText"/>
      </w:pPr>
      <w:r>
        <w:rPr>
          <w:rStyle w:val="FootnoteReference"/>
        </w:rPr>
        <w:footnoteRef/>
      </w:r>
      <w:r>
        <w:t xml:space="preserve"> Između 2008. i 2015. godine je učešće mladih koji imaju stalno zaspolenje opalo sa 74.5% na 54.9% a učešće onih sa ugovorima na određeno vreme se povećalo sa 18.1% na 37% (Stanojević, 2017).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695"/>
    <w:rsid w:val="00011D94"/>
    <w:rsid w:val="00025E9F"/>
    <w:rsid w:val="00040E6E"/>
    <w:rsid w:val="000C1F24"/>
    <w:rsid w:val="000D6FAB"/>
    <w:rsid w:val="001057C0"/>
    <w:rsid w:val="00131B27"/>
    <w:rsid w:val="00141C99"/>
    <w:rsid w:val="00154DE0"/>
    <w:rsid w:val="00171B65"/>
    <w:rsid w:val="00183C4C"/>
    <w:rsid w:val="00191B0E"/>
    <w:rsid w:val="001F0FD4"/>
    <w:rsid w:val="001F2BFA"/>
    <w:rsid w:val="00206182"/>
    <w:rsid w:val="00211033"/>
    <w:rsid w:val="00235179"/>
    <w:rsid w:val="00282402"/>
    <w:rsid w:val="002A0C00"/>
    <w:rsid w:val="00300692"/>
    <w:rsid w:val="003112DE"/>
    <w:rsid w:val="00327977"/>
    <w:rsid w:val="00340270"/>
    <w:rsid w:val="003639D4"/>
    <w:rsid w:val="00393C0A"/>
    <w:rsid w:val="00405F74"/>
    <w:rsid w:val="004708AD"/>
    <w:rsid w:val="00481317"/>
    <w:rsid w:val="00490835"/>
    <w:rsid w:val="00493C4F"/>
    <w:rsid w:val="004E2AD5"/>
    <w:rsid w:val="00553695"/>
    <w:rsid w:val="005650E0"/>
    <w:rsid w:val="00582575"/>
    <w:rsid w:val="00587BF9"/>
    <w:rsid w:val="00593214"/>
    <w:rsid w:val="00594461"/>
    <w:rsid w:val="006A3ED2"/>
    <w:rsid w:val="006D7741"/>
    <w:rsid w:val="00732A0C"/>
    <w:rsid w:val="00741400"/>
    <w:rsid w:val="00745D3C"/>
    <w:rsid w:val="0079459F"/>
    <w:rsid w:val="007C790A"/>
    <w:rsid w:val="007D5069"/>
    <w:rsid w:val="007E500F"/>
    <w:rsid w:val="007F5750"/>
    <w:rsid w:val="008041A8"/>
    <w:rsid w:val="008639BB"/>
    <w:rsid w:val="00871BBE"/>
    <w:rsid w:val="0087261C"/>
    <w:rsid w:val="008F47FE"/>
    <w:rsid w:val="0091279C"/>
    <w:rsid w:val="0094345D"/>
    <w:rsid w:val="00965386"/>
    <w:rsid w:val="00987E88"/>
    <w:rsid w:val="00995881"/>
    <w:rsid w:val="009A7959"/>
    <w:rsid w:val="009F0676"/>
    <w:rsid w:val="00A45F1F"/>
    <w:rsid w:val="00A74AD5"/>
    <w:rsid w:val="00A74E1A"/>
    <w:rsid w:val="00A945CC"/>
    <w:rsid w:val="00AC0712"/>
    <w:rsid w:val="00AF248B"/>
    <w:rsid w:val="00B31399"/>
    <w:rsid w:val="00B4731F"/>
    <w:rsid w:val="00B90C57"/>
    <w:rsid w:val="00BB6D0E"/>
    <w:rsid w:val="00C04992"/>
    <w:rsid w:val="00CD44D7"/>
    <w:rsid w:val="00D32CCE"/>
    <w:rsid w:val="00D464A6"/>
    <w:rsid w:val="00D67A6B"/>
    <w:rsid w:val="00D842BF"/>
    <w:rsid w:val="00D942B1"/>
    <w:rsid w:val="00D95FB3"/>
    <w:rsid w:val="00DA00C7"/>
    <w:rsid w:val="00DE0A7D"/>
    <w:rsid w:val="00E2214B"/>
    <w:rsid w:val="00E6532C"/>
    <w:rsid w:val="00E74462"/>
    <w:rsid w:val="00E86897"/>
    <w:rsid w:val="00EA0E62"/>
    <w:rsid w:val="00F54EB7"/>
    <w:rsid w:val="00F62B06"/>
    <w:rsid w:val="00F91948"/>
    <w:rsid w:val="00FF0804"/>
    <w:rsid w:val="00FF5C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5D216C-C28D-4994-AA62-DAD40C81E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5369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553695"/>
    <w:pPr>
      <w:spacing w:after="0" w:line="240" w:lineRule="auto"/>
    </w:pPr>
    <w:rPr>
      <w:sz w:val="20"/>
      <w:szCs w:val="20"/>
      <w:lang w:val="sr-Latn-RS"/>
    </w:rPr>
  </w:style>
  <w:style w:type="character" w:customStyle="1" w:styleId="FootnoteTextChar">
    <w:name w:val="Footnote Text Char"/>
    <w:basedOn w:val="DefaultParagraphFont"/>
    <w:link w:val="FootnoteText"/>
    <w:uiPriority w:val="99"/>
    <w:semiHidden/>
    <w:rsid w:val="00553695"/>
    <w:rPr>
      <w:sz w:val="20"/>
      <w:szCs w:val="20"/>
      <w:lang w:val="sr-Latn-RS"/>
    </w:rPr>
  </w:style>
  <w:style w:type="character" w:styleId="FootnoteReference">
    <w:name w:val="footnote reference"/>
    <w:basedOn w:val="DefaultParagraphFont"/>
    <w:uiPriority w:val="99"/>
    <w:semiHidden/>
    <w:unhideWhenUsed/>
    <w:rsid w:val="00553695"/>
    <w:rPr>
      <w:vertAlign w:val="superscript"/>
    </w:rPr>
  </w:style>
  <w:style w:type="character" w:customStyle="1" w:styleId="Heading1Char">
    <w:name w:val="Heading 1 Char"/>
    <w:basedOn w:val="DefaultParagraphFont"/>
    <w:link w:val="Heading1"/>
    <w:uiPriority w:val="9"/>
    <w:rsid w:val="00553695"/>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1.xml"/><Relationship Id="rId5" Type="http://schemas.openxmlformats.org/officeDocument/2006/relationships/endnotes" Target="endnotes.xml"/><Relationship Id="rId4" Type="http://schemas.openxmlformats.org/officeDocument/2006/relationships/footnotes" Target="footnotes.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dragan\Documents\Mladi%20zadovoljstvo\komparacij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3"/>
          <c:order val="2"/>
          <c:tx>
            <c:strRef>
              <c:f>Sheet1!$D$3</c:f>
              <c:strCache>
                <c:ptCount val="1"/>
                <c:pt idx="0">
                  <c:v>zadovoljstvo životom</c:v>
                </c:pt>
              </c:strCache>
            </c:strRef>
          </c:tx>
          <c:spPr>
            <a:solidFill>
              <a:schemeClr val="accent4"/>
            </a:solidFill>
            <a:ln>
              <a:noFill/>
            </a:ln>
            <a:effectLst/>
          </c:spPr>
          <c:invertIfNegative val="0"/>
          <c:dPt>
            <c:idx val="11"/>
            <c:invertIfNegative val="0"/>
            <c:bubble3D val="0"/>
            <c:spPr>
              <a:gradFill rotWithShape="1">
                <a:gsLst>
                  <a:gs pos="0">
                    <a:schemeClr val="accent5">
                      <a:lumMod val="110000"/>
                      <a:satMod val="105000"/>
                      <a:tint val="67000"/>
                    </a:schemeClr>
                  </a:gs>
                  <a:gs pos="50000">
                    <a:schemeClr val="accent5">
                      <a:lumMod val="105000"/>
                      <a:satMod val="103000"/>
                      <a:tint val="73000"/>
                    </a:schemeClr>
                  </a:gs>
                  <a:gs pos="100000">
                    <a:schemeClr val="accent5">
                      <a:lumMod val="105000"/>
                      <a:satMod val="109000"/>
                      <a:tint val="81000"/>
                    </a:schemeClr>
                  </a:gs>
                </a:gsLst>
                <a:lin ang="5400000" scaled="0"/>
              </a:gradFill>
              <a:ln w="6350" cap="flat" cmpd="sng" algn="ctr">
                <a:solidFill>
                  <a:schemeClr val="accent5"/>
                </a:solidFill>
                <a:prstDash val="solid"/>
                <a:miter lim="800000"/>
              </a:ln>
              <a:effectLst/>
            </c:spPr>
          </c:dPt>
          <c:dLbls>
            <c:dLbl>
              <c:idx val="11"/>
              <c:layout>
                <c:manualLayout>
                  <c:x val="0"/>
                  <c:y val="-3.4164673727365906E-3"/>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Sheet1!$A$4:$A$36</c:f>
              <c:strCache>
                <c:ptCount val="33"/>
                <c:pt idx="0">
                  <c:v>S.Makedonija</c:v>
                </c:pt>
                <c:pt idx="1">
                  <c:v>Albanija</c:v>
                </c:pt>
                <c:pt idx="2">
                  <c:v>Turska</c:v>
                </c:pt>
                <c:pt idx="3">
                  <c:v>Bugarska</c:v>
                </c:pt>
                <c:pt idx="4">
                  <c:v>Grčka</c:v>
                </c:pt>
                <c:pt idx="5">
                  <c:v>Češka</c:v>
                </c:pt>
                <c:pt idx="6">
                  <c:v>Italija</c:v>
                </c:pt>
                <c:pt idx="7">
                  <c:v>Crna Gora</c:v>
                </c:pt>
                <c:pt idx="8">
                  <c:v>Kipar</c:v>
                </c:pt>
                <c:pt idx="9">
                  <c:v>Mađarska</c:v>
                </c:pt>
                <c:pt idx="10">
                  <c:v>Slovačka</c:v>
                </c:pt>
                <c:pt idx="11">
                  <c:v>Srbija</c:v>
                </c:pt>
                <c:pt idx="12">
                  <c:v>Rumunija</c:v>
                </c:pt>
                <c:pt idx="13">
                  <c:v>Francuska</c:v>
                </c:pt>
                <c:pt idx="14">
                  <c:v>Španija</c:v>
                </c:pt>
                <c:pt idx="15">
                  <c:v>Belgija</c:v>
                </c:pt>
                <c:pt idx="16">
                  <c:v>Švedska</c:v>
                </c:pt>
                <c:pt idx="17">
                  <c:v>Hrvatska</c:v>
                </c:pt>
                <c:pt idx="18">
                  <c:v>Latvija</c:v>
                </c:pt>
                <c:pt idx="19">
                  <c:v>Estonija</c:v>
                </c:pt>
                <c:pt idx="20">
                  <c:v>Litvanija</c:v>
                </c:pt>
                <c:pt idx="21">
                  <c:v>Nemačka</c:v>
                </c:pt>
                <c:pt idx="22">
                  <c:v>Slovenija</c:v>
                </c:pt>
                <c:pt idx="23">
                  <c:v>Austrija</c:v>
                </c:pt>
                <c:pt idx="24">
                  <c:v>Malta</c:v>
                </c:pt>
                <c:pt idx="25">
                  <c:v>Portugal</c:v>
                </c:pt>
                <c:pt idx="26">
                  <c:v>V.Britanija</c:v>
                </c:pt>
                <c:pt idx="27">
                  <c:v>Poljska</c:v>
                </c:pt>
                <c:pt idx="28">
                  <c:v>Danska</c:v>
                </c:pt>
                <c:pt idx="29">
                  <c:v>Irska</c:v>
                </c:pt>
                <c:pt idx="30">
                  <c:v>Holandija</c:v>
                </c:pt>
                <c:pt idx="31">
                  <c:v>Luksemburg</c:v>
                </c:pt>
                <c:pt idx="32">
                  <c:v>Finska</c:v>
                </c:pt>
              </c:strCache>
            </c:strRef>
          </c:cat>
          <c:val>
            <c:numRef>
              <c:f>Sheet1!$D$4:$D$36</c:f>
              <c:numCache>
                <c:formatCode>0.0</c:formatCode>
                <c:ptCount val="33"/>
                <c:pt idx="0">
                  <c:v>5.3130841131669699</c:v>
                </c:pt>
                <c:pt idx="1">
                  <c:v>5.593029019341758</c:v>
                </c:pt>
                <c:pt idx="2">
                  <c:v>6.1044942105493503</c:v>
                </c:pt>
                <c:pt idx="3">
                  <c:v>6.2648721375213743</c:v>
                </c:pt>
                <c:pt idx="4">
                  <c:v>6.3929652424357899</c:v>
                </c:pt>
                <c:pt idx="5">
                  <c:v>6.6002132881395115</c:v>
                </c:pt>
                <c:pt idx="6">
                  <c:v>6.6993263284647275</c:v>
                </c:pt>
                <c:pt idx="7">
                  <c:v>6.8871052225621767</c:v>
                </c:pt>
                <c:pt idx="8">
                  <c:v>6.9989225303880982</c:v>
                </c:pt>
                <c:pt idx="9">
                  <c:v>7.0051514915927822</c:v>
                </c:pt>
                <c:pt idx="10">
                  <c:v>7.2823326931574641</c:v>
                </c:pt>
                <c:pt idx="11">
                  <c:v>7.309768876116415</c:v>
                </c:pt>
                <c:pt idx="12">
                  <c:v>7.3499221289709995</c:v>
                </c:pt>
                <c:pt idx="13">
                  <c:v>7.378327137043704</c:v>
                </c:pt>
                <c:pt idx="14">
                  <c:v>7.3946356577468704</c:v>
                </c:pt>
                <c:pt idx="15">
                  <c:v>7.3989762077745063</c:v>
                </c:pt>
                <c:pt idx="16">
                  <c:v>7.4089587940572219</c:v>
                </c:pt>
                <c:pt idx="17">
                  <c:v>7.4213870156983974</c:v>
                </c:pt>
                <c:pt idx="18">
                  <c:v>7.4376868434812229</c:v>
                </c:pt>
                <c:pt idx="19">
                  <c:v>7.4743353857345092</c:v>
                </c:pt>
                <c:pt idx="20">
                  <c:v>7.6059204028414129</c:v>
                </c:pt>
                <c:pt idx="21">
                  <c:v>7.6955204000725494</c:v>
                </c:pt>
                <c:pt idx="22">
                  <c:v>7.8266993715751791</c:v>
                </c:pt>
                <c:pt idx="23">
                  <c:v>7.8554352166588339</c:v>
                </c:pt>
                <c:pt idx="24">
                  <c:v>7.8688221490447186</c:v>
                </c:pt>
                <c:pt idx="25">
                  <c:v>7.8821060170679962</c:v>
                </c:pt>
                <c:pt idx="26">
                  <c:v>7.8885009323726445</c:v>
                </c:pt>
                <c:pt idx="27">
                  <c:v>7.8942361845598343</c:v>
                </c:pt>
                <c:pt idx="28">
                  <c:v>7.8964045464167221</c:v>
                </c:pt>
                <c:pt idx="29">
                  <c:v>7.8967244870186457</c:v>
                </c:pt>
                <c:pt idx="30">
                  <c:v>7.900931247132398</c:v>
                </c:pt>
                <c:pt idx="31">
                  <c:v>7.9307239975262034</c:v>
                </c:pt>
                <c:pt idx="32">
                  <c:v>7.9665577413204396</c:v>
                </c:pt>
              </c:numCache>
            </c:numRef>
          </c:val>
        </c:ser>
        <c:dLbls>
          <c:showLegendKey val="0"/>
          <c:showVal val="0"/>
          <c:showCatName val="0"/>
          <c:showSerName val="0"/>
          <c:showPercent val="0"/>
          <c:showBubbleSize val="0"/>
        </c:dLbls>
        <c:gapWidth val="269"/>
        <c:axId val="-789341168"/>
        <c:axId val="-789340080"/>
      </c:barChart>
      <c:scatterChart>
        <c:scatterStyle val="lineMarker"/>
        <c:varyColors val="0"/>
        <c:ser>
          <c:idx val="0"/>
          <c:order val="0"/>
          <c:tx>
            <c:strRef>
              <c:f>Sheet1!$B$3</c:f>
              <c:strCache>
                <c:ptCount val="1"/>
                <c:pt idx="0">
                  <c:v>posao</c:v>
                </c:pt>
              </c:strCache>
            </c:strRef>
          </c:tx>
          <c:spPr>
            <a:ln w="25400" cap="rnd">
              <a:noFill/>
              <a:round/>
            </a:ln>
            <a:effectLst/>
          </c:spPr>
          <c:marker>
            <c:symbol val="square"/>
            <c:size val="7"/>
            <c:spPr>
              <a:solidFill>
                <a:schemeClr val="accent1">
                  <a:lumMod val="75000"/>
                </a:schemeClr>
              </a:solidFill>
              <a:ln w="9525">
                <a:noFill/>
              </a:ln>
              <a:effectLst/>
            </c:spPr>
          </c:marker>
          <c:dLbls>
            <c:dLbl>
              <c:idx val="11"/>
              <c:layout>
                <c:manualLayout>
                  <c:x val="-3.0864197530864196E-2"/>
                  <c:y val="4.0997608472839113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0"/>
              </c:ext>
            </c:extLst>
          </c:dLbls>
          <c:xVal>
            <c:strRef>
              <c:f>Sheet1!$A$4:$A$36</c:f>
              <c:strCache>
                <c:ptCount val="33"/>
                <c:pt idx="0">
                  <c:v>S.Makedonija</c:v>
                </c:pt>
                <c:pt idx="1">
                  <c:v>Albanija</c:v>
                </c:pt>
                <c:pt idx="2">
                  <c:v>Turska</c:v>
                </c:pt>
                <c:pt idx="3">
                  <c:v>Bugarska</c:v>
                </c:pt>
                <c:pt idx="4">
                  <c:v>Grčka</c:v>
                </c:pt>
                <c:pt idx="5">
                  <c:v>Češka</c:v>
                </c:pt>
                <c:pt idx="6">
                  <c:v>Italija</c:v>
                </c:pt>
                <c:pt idx="7">
                  <c:v>Crna Gora</c:v>
                </c:pt>
                <c:pt idx="8">
                  <c:v>Kipar</c:v>
                </c:pt>
                <c:pt idx="9">
                  <c:v>Mađarska</c:v>
                </c:pt>
                <c:pt idx="10">
                  <c:v>Slovačka</c:v>
                </c:pt>
                <c:pt idx="11">
                  <c:v>Srbija</c:v>
                </c:pt>
                <c:pt idx="12">
                  <c:v>Rumunija</c:v>
                </c:pt>
                <c:pt idx="13">
                  <c:v>Francuska</c:v>
                </c:pt>
                <c:pt idx="14">
                  <c:v>Španija</c:v>
                </c:pt>
                <c:pt idx="15">
                  <c:v>Belgija</c:v>
                </c:pt>
                <c:pt idx="16">
                  <c:v>Švedska</c:v>
                </c:pt>
                <c:pt idx="17">
                  <c:v>Hrvatska</c:v>
                </c:pt>
                <c:pt idx="18">
                  <c:v>Latvija</c:v>
                </c:pt>
                <c:pt idx="19">
                  <c:v>Estonija</c:v>
                </c:pt>
                <c:pt idx="20">
                  <c:v>Litvanija</c:v>
                </c:pt>
                <c:pt idx="21">
                  <c:v>Nemačka</c:v>
                </c:pt>
                <c:pt idx="22">
                  <c:v>Slovenija</c:v>
                </c:pt>
                <c:pt idx="23">
                  <c:v>Austrija</c:v>
                </c:pt>
                <c:pt idx="24">
                  <c:v>Malta</c:v>
                </c:pt>
                <c:pt idx="25">
                  <c:v>Portugal</c:v>
                </c:pt>
                <c:pt idx="26">
                  <c:v>V.Britanija</c:v>
                </c:pt>
                <c:pt idx="27">
                  <c:v>Poljska</c:v>
                </c:pt>
                <c:pt idx="28">
                  <c:v>Danska</c:v>
                </c:pt>
                <c:pt idx="29">
                  <c:v>Irska</c:v>
                </c:pt>
                <c:pt idx="30">
                  <c:v>Holandija</c:v>
                </c:pt>
                <c:pt idx="31">
                  <c:v>Luksemburg</c:v>
                </c:pt>
                <c:pt idx="32">
                  <c:v>Finska</c:v>
                </c:pt>
              </c:strCache>
            </c:strRef>
          </c:xVal>
          <c:yVal>
            <c:numRef>
              <c:f>Sheet1!$B$4:$B$36</c:f>
              <c:numCache>
                <c:formatCode>0.0</c:formatCode>
                <c:ptCount val="33"/>
                <c:pt idx="0">
                  <c:v>6.5476670354643458</c:v>
                </c:pt>
                <c:pt idx="1">
                  <c:v>6.9476773306149244</c:v>
                </c:pt>
                <c:pt idx="2">
                  <c:v>6.558514383916739</c:v>
                </c:pt>
                <c:pt idx="3">
                  <c:v>7.0301666377627621</c:v>
                </c:pt>
                <c:pt idx="4">
                  <c:v>7.261481890162842</c:v>
                </c:pt>
                <c:pt idx="5">
                  <c:v>8.0396909420749925</c:v>
                </c:pt>
                <c:pt idx="6">
                  <c:v>6.8830472998675738</c:v>
                </c:pt>
                <c:pt idx="7">
                  <c:v>6.9514766244104198</c:v>
                </c:pt>
                <c:pt idx="8">
                  <c:v>7.2330882041480367</c:v>
                </c:pt>
                <c:pt idx="9">
                  <c:v>7.15586972144005</c:v>
                </c:pt>
                <c:pt idx="10">
                  <c:v>8.2156439031651782</c:v>
                </c:pt>
                <c:pt idx="11">
                  <c:v>6.9671303786725476</c:v>
                </c:pt>
                <c:pt idx="12">
                  <c:v>7.7272736410498171</c:v>
                </c:pt>
                <c:pt idx="13">
                  <c:v>7.2910155262362562</c:v>
                </c:pt>
                <c:pt idx="14">
                  <c:v>7.1013751811390593</c:v>
                </c:pt>
                <c:pt idx="15">
                  <c:v>6.9182488545962411</c:v>
                </c:pt>
                <c:pt idx="16">
                  <c:v>7.370251636159062</c:v>
                </c:pt>
                <c:pt idx="17">
                  <c:v>6.2700174215966102</c:v>
                </c:pt>
                <c:pt idx="18">
                  <c:v>7.8441133886023353</c:v>
                </c:pt>
                <c:pt idx="19">
                  <c:v>7.7189841219378765</c:v>
                </c:pt>
                <c:pt idx="20">
                  <c:v>7.4767244282302423</c:v>
                </c:pt>
                <c:pt idx="21">
                  <c:v>7.5343996587713162</c:v>
                </c:pt>
                <c:pt idx="22">
                  <c:v>7.3571892099227263</c:v>
                </c:pt>
                <c:pt idx="23">
                  <c:v>8.255369899878005</c:v>
                </c:pt>
                <c:pt idx="24">
                  <c:v>7.8689844014395138</c:v>
                </c:pt>
                <c:pt idx="25">
                  <c:v>7.4686854440987416</c:v>
                </c:pt>
                <c:pt idx="26">
                  <c:v>7.4729441818341327</c:v>
                </c:pt>
                <c:pt idx="27">
                  <c:v>7.7303361857788779</c:v>
                </c:pt>
                <c:pt idx="28">
                  <c:v>7.6415402629443179</c:v>
                </c:pt>
                <c:pt idx="29">
                  <c:v>7.9154291418380112</c:v>
                </c:pt>
                <c:pt idx="30">
                  <c:v>7.6005518872159064</c:v>
                </c:pt>
                <c:pt idx="31">
                  <c:v>7.5485782448875822</c:v>
                </c:pt>
                <c:pt idx="32">
                  <c:v>8.2002202244530871</c:v>
                </c:pt>
              </c:numCache>
            </c:numRef>
          </c:yVal>
          <c:smooth val="0"/>
        </c:ser>
        <c:ser>
          <c:idx val="2"/>
          <c:order val="1"/>
          <c:tx>
            <c:strRef>
              <c:f>Sheet1!$C$3</c:f>
              <c:strCache>
                <c:ptCount val="1"/>
                <c:pt idx="0">
                  <c:v>porodica</c:v>
                </c:pt>
              </c:strCache>
            </c:strRef>
          </c:tx>
          <c:spPr>
            <a:ln w="25400" cap="rnd">
              <a:noFill/>
              <a:round/>
            </a:ln>
            <a:effectLst/>
          </c:spPr>
          <c:marker>
            <c:symbol val="circle"/>
            <c:size val="7"/>
            <c:spPr>
              <a:solidFill>
                <a:schemeClr val="tx1"/>
              </a:solidFill>
              <a:ln w="9525">
                <a:noFill/>
              </a:ln>
              <a:effectLst/>
            </c:spPr>
          </c:marker>
          <c:dLbls>
            <c:dLbl>
              <c:idx val="11"/>
              <c:layout>
                <c:manualLayout>
                  <c:x val="-3.0864197530864196E-2"/>
                  <c:y val="-4.441407584557569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0"/>
              </c:ext>
            </c:extLst>
          </c:dLbls>
          <c:xVal>
            <c:strRef>
              <c:f>Sheet1!$A$4:$A$36</c:f>
              <c:strCache>
                <c:ptCount val="33"/>
                <c:pt idx="0">
                  <c:v>S.Makedonija</c:v>
                </c:pt>
                <c:pt idx="1">
                  <c:v>Albanija</c:v>
                </c:pt>
                <c:pt idx="2">
                  <c:v>Turska</c:v>
                </c:pt>
                <c:pt idx="3">
                  <c:v>Bugarska</c:v>
                </c:pt>
                <c:pt idx="4">
                  <c:v>Grčka</c:v>
                </c:pt>
                <c:pt idx="5">
                  <c:v>Češka</c:v>
                </c:pt>
                <c:pt idx="6">
                  <c:v>Italija</c:v>
                </c:pt>
                <c:pt idx="7">
                  <c:v>Crna Gora</c:v>
                </c:pt>
                <c:pt idx="8">
                  <c:v>Kipar</c:v>
                </c:pt>
                <c:pt idx="9">
                  <c:v>Mađarska</c:v>
                </c:pt>
                <c:pt idx="10">
                  <c:v>Slovačka</c:v>
                </c:pt>
                <c:pt idx="11">
                  <c:v>Srbija</c:v>
                </c:pt>
                <c:pt idx="12">
                  <c:v>Rumunija</c:v>
                </c:pt>
                <c:pt idx="13">
                  <c:v>Francuska</c:v>
                </c:pt>
                <c:pt idx="14">
                  <c:v>Španija</c:v>
                </c:pt>
                <c:pt idx="15">
                  <c:v>Belgija</c:v>
                </c:pt>
                <c:pt idx="16">
                  <c:v>Švedska</c:v>
                </c:pt>
                <c:pt idx="17">
                  <c:v>Hrvatska</c:v>
                </c:pt>
                <c:pt idx="18">
                  <c:v>Latvija</c:v>
                </c:pt>
                <c:pt idx="19">
                  <c:v>Estonija</c:v>
                </c:pt>
                <c:pt idx="20">
                  <c:v>Litvanija</c:v>
                </c:pt>
                <c:pt idx="21">
                  <c:v>Nemačka</c:v>
                </c:pt>
                <c:pt idx="22">
                  <c:v>Slovenija</c:v>
                </c:pt>
                <c:pt idx="23">
                  <c:v>Austrija</c:v>
                </c:pt>
                <c:pt idx="24">
                  <c:v>Malta</c:v>
                </c:pt>
                <c:pt idx="25">
                  <c:v>Portugal</c:v>
                </c:pt>
                <c:pt idx="26">
                  <c:v>V.Britanija</c:v>
                </c:pt>
                <c:pt idx="27">
                  <c:v>Poljska</c:v>
                </c:pt>
                <c:pt idx="28">
                  <c:v>Danska</c:v>
                </c:pt>
                <c:pt idx="29">
                  <c:v>Irska</c:v>
                </c:pt>
                <c:pt idx="30">
                  <c:v>Holandija</c:v>
                </c:pt>
                <c:pt idx="31">
                  <c:v>Luksemburg</c:v>
                </c:pt>
                <c:pt idx="32">
                  <c:v>Finska</c:v>
                </c:pt>
              </c:strCache>
            </c:strRef>
          </c:xVal>
          <c:yVal>
            <c:numRef>
              <c:f>Sheet1!$C$4:$C$36</c:f>
              <c:numCache>
                <c:formatCode>0.0</c:formatCode>
                <c:ptCount val="33"/>
                <c:pt idx="0">
                  <c:v>7.7270081229994885</c:v>
                </c:pt>
                <c:pt idx="1">
                  <c:v>8.9607444103021976</c:v>
                </c:pt>
                <c:pt idx="2">
                  <c:v>7.3479913100134908</c:v>
                </c:pt>
                <c:pt idx="3">
                  <c:v>7.774439952100173</c:v>
                </c:pt>
                <c:pt idx="4">
                  <c:v>8.074787001371913</c:v>
                </c:pt>
                <c:pt idx="5">
                  <c:v>7.4610457935455754</c:v>
                </c:pt>
                <c:pt idx="6">
                  <c:v>7.9013254226530165</c:v>
                </c:pt>
                <c:pt idx="7">
                  <c:v>8.0406528865761882</c:v>
                </c:pt>
                <c:pt idx="8">
                  <c:v>8.4887279681092771</c:v>
                </c:pt>
                <c:pt idx="9">
                  <c:v>8.5882742195398691</c:v>
                </c:pt>
                <c:pt idx="10">
                  <c:v>8.4717639432506626</c:v>
                </c:pt>
                <c:pt idx="11">
                  <c:v>8.4338206676885221</c:v>
                </c:pt>
                <c:pt idx="12">
                  <c:v>8.59493627292197</c:v>
                </c:pt>
                <c:pt idx="13">
                  <c:v>8.2136905228147263</c:v>
                </c:pt>
                <c:pt idx="14">
                  <c:v>8.2046347407898406</c:v>
                </c:pt>
                <c:pt idx="15">
                  <c:v>7.5613782885903156</c:v>
                </c:pt>
                <c:pt idx="16">
                  <c:v>7.9337422246778919</c:v>
                </c:pt>
                <c:pt idx="17">
                  <c:v>7.802447981801401</c:v>
                </c:pt>
                <c:pt idx="18">
                  <c:v>8.2366704695959037</c:v>
                </c:pt>
                <c:pt idx="19">
                  <c:v>8.3838486698684562</c:v>
                </c:pt>
                <c:pt idx="20">
                  <c:v>8.6917395732215841</c:v>
                </c:pt>
                <c:pt idx="21">
                  <c:v>7.8493251155601991</c:v>
                </c:pt>
                <c:pt idx="22">
                  <c:v>8.662996780403688</c:v>
                </c:pt>
                <c:pt idx="23">
                  <c:v>8.7373072856908376</c:v>
                </c:pt>
                <c:pt idx="24">
                  <c:v>8.7982960487317978</c:v>
                </c:pt>
                <c:pt idx="25">
                  <c:v>8.6187100106672609</c:v>
                </c:pt>
                <c:pt idx="26">
                  <c:v>8.7672161103249078</c:v>
                </c:pt>
                <c:pt idx="27">
                  <c:v>8.1728596262664421</c:v>
                </c:pt>
                <c:pt idx="28">
                  <c:v>8.5700043609216348</c:v>
                </c:pt>
                <c:pt idx="29">
                  <c:v>8.7860457762804387</c:v>
                </c:pt>
                <c:pt idx="30">
                  <c:v>8.0612806891501609</c:v>
                </c:pt>
                <c:pt idx="31">
                  <c:v>8.8634442509121119</c:v>
                </c:pt>
                <c:pt idx="32">
                  <c:v>8.2393807536795212</c:v>
                </c:pt>
              </c:numCache>
            </c:numRef>
          </c:yVal>
          <c:smooth val="0"/>
        </c:ser>
        <c:dLbls>
          <c:showLegendKey val="0"/>
          <c:showVal val="0"/>
          <c:showCatName val="0"/>
          <c:showSerName val="0"/>
          <c:showPercent val="0"/>
          <c:showBubbleSize val="0"/>
        </c:dLbls>
        <c:axId val="-789341168"/>
        <c:axId val="-789340080"/>
      </c:scatterChart>
      <c:catAx>
        <c:axId val="-78934116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89340080"/>
        <c:crossesAt val="1"/>
        <c:auto val="1"/>
        <c:lblAlgn val="ctr"/>
        <c:lblOffset val="100"/>
        <c:noMultiLvlLbl val="0"/>
      </c:catAx>
      <c:valAx>
        <c:axId val="-789340080"/>
        <c:scaling>
          <c:orientation val="minMax"/>
        </c:scaling>
        <c:delete val="0"/>
        <c:axPos val="l"/>
        <c:numFmt formatCode="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893411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TotalTime>
  <Pages>4</Pages>
  <Words>1592</Words>
  <Characters>9080</Characters>
  <Application>Microsoft Office Word</Application>
  <DocSecurity>0</DocSecurity>
  <Lines>75</Lines>
  <Paragraphs>21</Paragraphs>
  <ScaleCrop>false</ScaleCrop>
  <Company/>
  <LinksUpToDate>false</LinksUpToDate>
  <CharactersWithSpaces>10651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dragan stanojevic</dc:creator>
  <cp:keywords/>
  <dc:description/>
  <cp:lastModifiedBy>dragan stanojevic</cp:lastModifiedBy>
  <cp:revision>1</cp:revision>
  <dcterms:created xsi:type="dcterms:W3CDTF">2020-05-11T20:03:00Z</dcterms:created>
  <dcterms:modified xsi:type="dcterms:W3CDTF">2020-05-11T20:04:00Z</dcterms:modified>
</cp:coreProperties>
</file>