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36" w:rsidRDefault="00892336" w:rsidP="00892336">
      <w:pPr>
        <w:jc w:val="both"/>
        <w:rPr>
          <w:rFonts w:ascii="Times New Roman" w:hAnsi="Times New Roman" w:cs="Times New Roman"/>
          <w:sz w:val="24"/>
          <w:lang w:val="sr-Latn-RS"/>
        </w:rPr>
      </w:pPr>
    </w:p>
    <w:p w:rsidR="00892336" w:rsidRDefault="00892336" w:rsidP="00892336">
      <w:pPr>
        <w:pStyle w:val="Heading1"/>
        <w:jc w:val="center"/>
        <w:rPr>
          <w:rFonts w:ascii="Times New Roman" w:hAnsi="Times New Roman" w:cs="Times New Roman"/>
          <w:lang w:val="sr-Latn-RS"/>
        </w:rPr>
      </w:pPr>
      <w:r w:rsidRPr="00892336">
        <w:rPr>
          <w:rFonts w:ascii="Times New Roman" w:hAnsi="Times New Roman" w:cs="Times New Roman"/>
          <w:lang w:val="sr-Latn-RS"/>
        </w:rPr>
        <w:t>Tranzicija mladih ka tržištu rada</w:t>
      </w:r>
    </w:p>
    <w:p w:rsidR="00892336" w:rsidRPr="00892336" w:rsidRDefault="00892336" w:rsidP="00892336">
      <w:pPr>
        <w:rPr>
          <w:lang w:val="sr-Latn-RS"/>
        </w:rPr>
      </w:pPr>
      <w:bookmarkStart w:id="0" w:name="_GoBack"/>
      <w:bookmarkEnd w:id="0"/>
    </w:p>
    <w:p w:rsidR="00D96017" w:rsidRPr="002033EF" w:rsidRDefault="00BF1A6E" w:rsidP="00892336">
      <w:pPr>
        <w:jc w:val="both"/>
        <w:rPr>
          <w:rFonts w:ascii="Times New Roman" w:hAnsi="Times New Roman" w:cs="Times New Roman"/>
          <w:sz w:val="24"/>
          <w:lang w:val="sr-Latn-RS"/>
        </w:rPr>
      </w:pPr>
      <w:r>
        <w:rPr>
          <w:rFonts w:ascii="Times New Roman" w:hAnsi="Times New Roman" w:cs="Times New Roman"/>
          <w:sz w:val="24"/>
          <w:lang w:val="sr-Latn-RS"/>
        </w:rPr>
        <w:t xml:space="preserve">Savremeno tržište rada karakteriše </w:t>
      </w:r>
      <w:r w:rsidR="00D96017" w:rsidRPr="002033EF">
        <w:rPr>
          <w:rFonts w:ascii="Times New Roman" w:hAnsi="Times New Roman" w:cs="Times New Roman"/>
          <w:sz w:val="24"/>
          <w:lang w:val="sr-Latn-RS"/>
        </w:rPr>
        <w:t xml:space="preserve">fleksibilnost </w:t>
      </w:r>
      <w:r>
        <w:rPr>
          <w:rFonts w:ascii="Times New Roman" w:hAnsi="Times New Roman" w:cs="Times New Roman"/>
          <w:sz w:val="24"/>
          <w:lang w:val="sr-Latn-RS"/>
        </w:rPr>
        <w:t xml:space="preserve">koja je povezana sa </w:t>
      </w:r>
      <w:r w:rsidR="00D96017" w:rsidRPr="002033EF">
        <w:rPr>
          <w:rFonts w:ascii="Times New Roman" w:hAnsi="Times New Roman" w:cs="Times New Roman"/>
          <w:sz w:val="24"/>
          <w:lang w:val="sr-Latn-RS"/>
        </w:rPr>
        <w:t>procesima uspon</w:t>
      </w:r>
      <w:r>
        <w:rPr>
          <w:rFonts w:ascii="Times New Roman" w:hAnsi="Times New Roman" w:cs="Times New Roman"/>
          <w:sz w:val="24"/>
          <w:lang w:val="sr-Latn-RS"/>
        </w:rPr>
        <w:t>a</w:t>
      </w:r>
      <w:r w:rsidR="00D96017" w:rsidRPr="002033EF">
        <w:rPr>
          <w:rFonts w:ascii="Times New Roman" w:hAnsi="Times New Roman" w:cs="Times New Roman"/>
          <w:sz w:val="24"/>
          <w:lang w:val="sr-Latn-RS"/>
        </w:rPr>
        <w:t xml:space="preserve"> uslužnog sektora, </w:t>
      </w:r>
      <w:r>
        <w:rPr>
          <w:rFonts w:ascii="Times New Roman" w:hAnsi="Times New Roman" w:cs="Times New Roman"/>
          <w:sz w:val="24"/>
          <w:lang w:val="sr-Latn-RS"/>
        </w:rPr>
        <w:t>razvojem komunikacija, informacijskih tehnologij</w:t>
      </w:r>
      <w:r w:rsidR="00892336">
        <w:rPr>
          <w:rFonts w:ascii="Times New Roman" w:hAnsi="Times New Roman" w:cs="Times New Roman"/>
          <w:sz w:val="24"/>
          <w:lang w:val="sr-Latn-RS"/>
        </w:rPr>
        <w:t>a</w:t>
      </w:r>
      <w:r>
        <w:rPr>
          <w:rFonts w:ascii="Times New Roman" w:hAnsi="Times New Roman" w:cs="Times New Roman"/>
          <w:sz w:val="24"/>
          <w:lang w:val="sr-Latn-RS"/>
        </w:rPr>
        <w:t>,</w:t>
      </w:r>
      <w:r w:rsidR="00D96017" w:rsidRPr="002033EF">
        <w:rPr>
          <w:rFonts w:ascii="Times New Roman" w:hAnsi="Times New Roman" w:cs="Times New Roman"/>
          <w:sz w:val="24"/>
          <w:lang w:val="sr-Latn-RS"/>
        </w:rPr>
        <w:t xml:space="preserve"> ekonomije znanja, i</w:t>
      </w:r>
      <w:r>
        <w:rPr>
          <w:rFonts w:ascii="Times New Roman" w:hAnsi="Times New Roman" w:cs="Times New Roman"/>
          <w:sz w:val="24"/>
          <w:lang w:val="sr-Latn-RS"/>
        </w:rPr>
        <w:t xml:space="preserve"> generalno procesima</w:t>
      </w:r>
      <w:r w:rsidR="00D96017" w:rsidRPr="002033EF">
        <w:rPr>
          <w:rFonts w:ascii="Times New Roman" w:hAnsi="Times New Roman" w:cs="Times New Roman"/>
          <w:sz w:val="24"/>
          <w:lang w:val="sr-Latn-RS"/>
        </w:rPr>
        <w:t xml:space="preserve"> globalizacija. </w:t>
      </w:r>
      <w:r>
        <w:rPr>
          <w:rFonts w:ascii="Times New Roman" w:hAnsi="Times New Roman" w:cs="Times New Roman"/>
          <w:sz w:val="24"/>
          <w:lang w:val="sr-Latn-RS"/>
        </w:rPr>
        <w:t>Tokom ekonomske krize sedamdesetih godina XX veka je nezaposlenost postala strukturna i zahvatila veći deo evropskih država. Prvi put je tranzicija ka tržištu rada, za značajan broj mladih,</w:t>
      </w:r>
      <w:r w:rsidR="00892336">
        <w:rPr>
          <w:rFonts w:ascii="Times New Roman" w:hAnsi="Times New Roman" w:cs="Times New Roman"/>
          <w:sz w:val="24"/>
          <w:lang w:val="sr-Latn-RS"/>
        </w:rPr>
        <w:t xml:space="preserve"> </w:t>
      </w:r>
      <w:r w:rsidR="00892336">
        <w:rPr>
          <w:rFonts w:ascii="Times New Roman" w:hAnsi="Times New Roman" w:cs="Times New Roman"/>
          <w:sz w:val="24"/>
          <w:lang w:val="sr-Latn-RS"/>
        </w:rPr>
        <w:t>podrazumevala</w:t>
      </w:r>
      <w:r w:rsidR="00892336">
        <w:rPr>
          <w:rFonts w:ascii="Times New Roman" w:hAnsi="Times New Roman" w:cs="Times New Roman"/>
          <w:sz w:val="24"/>
          <w:lang w:val="sr-Latn-RS"/>
        </w:rPr>
        <w:t xml:space="preserve"> </w:t>
      </w:r>
      <w:r w:rsidR="00892336">
        <w:rPr>
          <w:rFonts w:ascii="Times New Roman" w:hAnsi="Times New Roman" w:cs="Times New Roman"/>
          <w:sz w:val="24"/>
          <w:lang w:val="sr-Latn-RS"/>
        </w:rPr>
        <w:t>otežan ulazak na tržište rada</w:t>
      </w:r>
      <w:r w:rsidR="00892336">
        <w:rPr>
          <w:rFonts w:ascii="Times New Roman" w:hAnsi="Times New Roman" w:cs="Times New Roman"/>
          <w:sz w:val="24"/>
          <w:lang w:val="sr-Latn-RS"/>
        </w:rPr>
        <w:t xml:space="preserve">, period nezaposlenosti, nesigurnost na poslu i sl. Kraj XX i početak XXI veka je doneo nove rizike, posebno nakon otpočinjanja ekonomske krize 2008. godine. Dolazi do rasta udela poslova na određeno vreme, povremenih poslova, rada u neformalnoj ekonomiji, bez prava koje se ostvaruju na osnovu ugovora o radu. Odgovori mladih na ove izazove su različiti ali su nam sociološki najznačanija dva načina: 1. Oni koji su fokusirani dna to da uravnoteže putanje: </w:t>
      </w:r>
      <w:r w:rsidR="00D96017" w:rsidRPr="002033EF">
        <w:rPr>
          <w:rFonts w:ascii="Times New Roman" w:hAnsi="Times New Roman" w:cs="Times New Roman"/>
          <w:sz w:val="24"/>
          <w:lang w:val="sr-Latn-RS"/>
        </w:rPr>
        <w:t>zadržavanje</w:t>
      </w:r>
      <w:r w:rsidR="00892336">
        <w:rPr>
          <w:rFonts w:ascii="Times New Roman" w:hAnsi="Times New Roman" w:cs="Times New Roman"/>
          <w:sz w:val="24"/>
          <w:lang w:val="sr-Latn-RS"/>
        </w:rPr>
        <w:t>m</w:t>
      </w:r>
      <w:r w:rsidR="00D96017" w:rsidRPr="002033EF">
        <w:rPr>
          <w:rFonts w:ascii="Times New Roman" w:hAnsi="Times New Roman" w:cs="Times New Roman"/>
          <w:sz w:val="24"/>
          <w:lang w:val="sr-Latn-RS"/>
        </w:rPr>
        <w:t xml:space="preserve"> u </w:t>
      </w:r>
      <w:r w:rsidR="00892336">
        <w:rPr>
          <w:rFonts w:ascii="Times New Roman" w:hAnsi="Times New Roman" w:cs="Times New Roman"/>
          <w:sz w:val="24"/>
          <w:lang w:val="sr-Latn-RS"/>
        </w:rPr>
        <w:t xml:space="preserve">sistemu </w:t>
      </w:r>
      <w:r w:rsidR="00D96017" w:rsidRPr="002033EF">
        <w:rPr>
          <w:rFonts w:ascii="Times New Roman" w:hAnsi="Times New Roman" w:cs="Times New Roman"/>
          <w:sz w:val="24"/>
          <w:lang w:val="sr-Latn-RS"/>
        </w:rPr>
        <w:t>obrazovanj</w:t>
      </w:r>
      <w:r w:rsidR="00892336">
        <w:rPr>
          <w:rFonts w:ascii="Times New Roman" w:hAnsi="Times New Roman" w:cs="Times New Roman"/>
          <w:sz w:val="24"/>
          <w:lang w:val="sr-Latn-RS"/>
        </w:rPr>
        <w:t xml:space="preserve">a, </w:t>
      </w:r>
      <w:r w:rsidR="00D96017" w:rsidRPr="002033EF">
        <w:rPr>
          <w:rFonts w:ascii="Times New Roman" w:hAnsi="Times New Roman" w:cs="Times New Roman"/>
          <w:sz w:val="24"/>
          <w:lang w:val="sr-Latn-RS"/>
        </w:rPr>
        <w:t>nagomilavanje</w:t>
      </w:r>
      <w:r w:rsidR="00892336">
        <w:rPr>
          <w:rFonts w:ascii="Times New Roman" w:hAnsi="Times New Roman" w:cs="Times New Roman"/>
          <w:sz w:val="24"/>
          <w:lang w:val="sr-Latn-RS"/>
        </w:rPr>
        <w:t>m</w:t>
      </w:r>
      <w:r w:rsidR="00D96017" w:rsidRPr="002033EF">
        <w:rPr>
          <w:rFonts w:ascii="Times New Roman" w:hAnsi="Times New Roman" w:cs="Times New Roman"/>
          <w:sz w:val="24"/>
          <w:lang w:val="sr-Latn-RS"/>
        </w:rPr>
        <w:t xml:space="preserve"> kvalifikacija</w:t>
      </w:r>
      <w:r w:rsidR="00892336">
        <w:rPr>
          <w:rFonts w:ascii="Times New Roman" w:hAnsi="Times New Roman" w:cs="Times New Roman"/>
          <w:sz w:val="24"/>
          <w:lang w:val="sr-Latn-RS"/>
        </w:rPr>
        <w:t xml:space="preserve"> (jačajući svoj CV)</w:t>
      </w:r>
      <w:r w:rsidR="00D96017" w:rsidRPr="002033EF">
        <w:rPr>
          <w:rFonts w:ascii="Times New Roman" w:hAnsi="Times New Roman" w:cs="Times New Roman"/>
          <w:sz w:val="24"/>
          <w:lang w:val="sr-Latn-RS"/>
        </w:rPr>
        <w:t xml:space="preserve"> i </w:t>
      </w:r>
      <w:r w:rsidR="00892336">
        <w:rPr>
          <w:rFonts w:ascii="Times New Roman" w:hAnsi="Times New Roman" w:cs="Times New Roman"/>
          <w:sz w:val="24"/>
          <w:lang w:val="sr-Latn-RS"/>
        </w:rPr>
        <w:t xml:space="preserve">diversifikujući svoj portfolio – držeći otvorene mogućnosti; 2. Oni koji odustaju od obrazovanja i povlače se.  </w:t>
      </w:r>
    </w:p>
    <w:p w:rsidR="002033EF" w:rsidRPr="002033EF" w:rsidRDefault="002033EF" w:rsidP="002033EF">
      <w:pPr>
        <w:pStyle w:val="NoSpacing"/>
        <w:ind w:firstLine="720"/>
        <w:jc w:val="both"/>
        <w:rPr>
          <w:rFonts w:ascii="Times New Roman" w:hAnsi="Times New Roman" w:cs="Times New Roman"/>
          <w:sz w:val="24"/>
          <w:lang w:val="sr-Latn-RS"/>
        </w:rPr>
      </w:pPr>
      <w:r w:rsidRPr="002033EF">
        <w:rPr>
          <w:rFonts w:ascii="Times New Roman" w:hAnsi="Times New Roman" w:cs="Times New Roman"/>
          <w:sz w:val="24"/>
          <w:lang w:val="sr-Latn-RS"/>
        </w:rPr>
        <w:t xml:space="preserve">Probleme radne tranzicije možemo izraziti kroz tri bazična problema: 1. razvijenosti tržišta rada, 2. usklađenost znanja i veština i potreba poslodavaca i 3. jednakost šansi koje garantuju da će potencijali (talenti) biti iskorišćeni na adekvatan način. U ovom tekstu ćemo se baviti direktno trećim problemom i posredno drugim. Tržište rada je značajnim delom obrađeno od strane ekonomista (Zubović, 2011; Arandarenko, 2013; 2011). S druge strane neposredni efekti obrazovanja na tržištu rada, a posebno nejednakost šansi su tek sporadično bili predmet interesovanja (npr. Krstić, et al, 2010, Mojić, 2012). </w:t>
      </w:r>
    </w:p>
    <w:p w:rsidR="002033EF" w:rsidRPr="002033EF" w:rsidRDefault="002033EF" w:rsidP="002033EF">
      <w:pPr>
        <w:pStyle w:val="NoSpacing"/>
        <w:ind w:firstLine="720"/>
        <w:jc w:val="both"/>
        <w:rPr>
          <w:rFonts w:ascii="Times New Roman" w:hAnsi="Times New Roman" w:cs="Times New Roman"/>
          <w:sz w:val="24"/>
          <w:lang w:val="sr-Latn-RS"/>
        </w:rPr>
      </w:pPr>
      <w:r w:rsidRPr="002033EF">
        <w:rPr>
          <w:rFonts w:ascii="Times New Roman" w:hAnsi="Times New Roman" w:cs="Times New Roman"/>
          <w:sz w:val="24"/>
          <w:lang w:val="sr-Latn-RS"/>
        </w:rPr>
        <w:t>Sociolozi prepoznaju da mladi u Srbiji atribute odraslosti nešto kasnije i teže stiču nego njihovi vršnajci na zapadu i severu Evrope. Duga finansijska i stambena zavisnost od roditelja, uzrokovana nerazvijenom privredom i nefleksibilnim tržištem rada, dovodi kod mladih do razvijanja strategija koje za cilj imaju obezbeđivanje osnovnih sredstava za život (Tomanović, 2012). Iako mladi dele većinu problema kao i svaka druga starosna kohorta, ključna razlika u odnosu na starije jeste intenzivna tranzitornost ove grupe, obeležena procesom sticanja kompetencija potrebnih za ulazak u svet odraslih (Goodwin, O’Connor, 2009). Tokom ovog procesa mladi se (kao i ostatak populacije) među sobom značajno razlikuju i ove razlike – mesto gde žive, stepen obrazovanja, pol, porodično poreklo, etnička pripadnost i dr. – utiču na njihove šanse za uspešno uključivanje u sferu odraslih (</w:t>
      </w:r>
      <w:r w:rsidRPr="002033EF">
        <w:rPr>
          <w:rFonts w:ascii="Times New Roman" w:eastAsia="Calibri" w:hAnsi="Times New Roman" w:cs="Times New Roman"/>
          <w:sz w:val="24"/>
          <w:lang w:val="sr-Latn-RS"/>
        </w:rPr>
        <w:t xml:space="preserve">Brannen </w:t>
      </w:r>
      <w:r w:rsidRPr="002033EF">
        <w:rPr>
          <w:rFonts w:ascii="Times New Roman" w:eastAsia="Calibri" w:hAnsi="Times New Roman" w:cs="Times New Roman"/>
          <w:i/>
          <w:sz w:val="24"/>
          <w:lang w:val="sr-Latn-RS"/>
        </w:rPr>
        <w:t>et al</w:t>
      </w:r>
      <w:r w:rsidRPr="002033EF">
        <w:rPr>
          <w:rFonts w:ascii="Times New Roman" w:eastAsia="Calibri" w:hAnsi="Times New Roman" w:cs="Times New Roman"/>
          <w:sz w:val="24"/>
          <w:lang w:val="sr-Latn-RS"/>
        </w:rPr>
        <w:t>. 2002; Brannen, Nielsen, 2005</w:t>
      </w:r>
      <w:r w:rsidRPr="002033EF">
        <w:rPr>
          <w:rFonts w:ascii="Times New Roman" w:hAnsi="Times New Roman" w:cs="Times New Roman"/>
          <w:sz w:val="24"/>
          <w:lang w:val="sr-Latn-RS"/>
        </w:rPr>
        <w:t xml:space="preserve">; </w:t>
      </w:r>
      <w:r w:rsidRPr="002033EF">
        <w:rPr>
          <w:rFonts w:ascii="Times New Roman" w:eastAsia="Calibri" w:hAnsi="Times New Roman" w:cs="Times New Roman"/>
          <w:sz w:val="24"/>
          <w:lang w:val="sr-Latn-RS"/>
        </w:rPr>
        <w:t>Walther, 2006; Walther et al. 2009</w:t>
      </w:r>
      <w:r w:rsidRPr="002033EF">
        <w:rPr>
          <w:rFonts w:ascii="Times New Roman" w:hAnsi="Times New Roman" w:cs="Times New Roman"/>
          <w:sz w:val="24"/>
          <w:lang w:val="sr-Latn-RS"/>
        </w:rPr>
        <w:t xml:space="preserve">; Wallace, Kovatcheva, 1998). Ipak, mladi u ovom procesu pokazuju izuzetnu ranjivost. U Srbiji je rizik od siromaštva mladih 18-24 godina 27.3% što ovu grupu stavlja u veoma nepovoljan položaj u odnosu na druge starosne grupe (Matković </w:t>
      </w:r>
      <w:r w:rsidRPr="002033EF">
        <w:rPr>
          <w:rFonts w:ascii="Times New Roman" w:hAnsi="Times New Roman" w:cs="Times New Roman"/>
          <w:i/>
          <w:sz w:val="24"/>
          <w:lang w:val="sr-Latn-RS"/>
        </w:rPr>
        <w:t>et al</w:t>
      </w:r>
      <w:r w:rsidRPr="002033EF">
        <w:rPr>
          <w:rFonts w:ascii="Times New Roman" w:hAnsi="Times New Roman" w:cs="Times New Roman"/>
          <w:sz w:val="24"/>
          <w:lang w:val="sr-Latn-RS"/>
        </w:rPr>
        <w:t>, 2013: 24).</w:t>
      </w:r>
    </w:p>
    <w:p w:rsidR="002033EF" w:rsidRPr="002033EF" w:rsidRDefault="002033EF" w:rsidP="002033EF">
      <w:pPr>
        <w:pStyle w:val="NoSpacing"/>
        <w:ind w:firstLine="720"/>
        <w:jc w:val="both"/>
        <w:rPr>
          <w:rFonts w:ascii="Times New Roman" w:hAnsi="Times New Roman" w:cs="Times New Roman"/>
          <w:sz w:val="24"/>
          <w:lang w:val="sr-Latn-RS"/>
        </w:rPr>
      </w:pPr>
      <w:r w:rsidRPr="002033EF">
        <w:rPr>
          <w:rFonts w:ascii="Times New Roman" w:hAnsi="Times New Roman" w:cs="Times New Roman"/>
          <w:sz w:val="24"/>
          <w:lang w:val="sr-Latn-RS"/>
        </w:rPr>
        <w:t xml:space="preserve">Srbija pripada grupi zemalja tzv. mediteranskog kruga koji karakteriše prolongirana i veoma nesigurna tranzicija ka tržištu rada. U ovom procesu se mladi oslanjaju prvenstveno na resurse porodice iz koje potiču ali i na one koje su sami stvorili. Mere štednje i globalni trendovi fleksibilizacije tržišta rada dovode do povećanja nesigurnosti poslova i samu tranziciju čine dužom i neizvesnijom. Treba imati u vidu da navedene promene ne pogađaju podjednako sve starosne grupe već utiču da se postojeće nejednakosti povećavaju, ali indukuju i stvaranje novih. Situacija u zemljama EU ukazuje da čak i sa evropskim integracijama ovaj problem neće biti lako rešiv. </w:t>
      </w:r>
    </w:p>
    <w:p w:rsidR="002033EF" w:rsidRPr="002033EF" w:rsidRDefault="002033EF" w:rsidP="002033EF">
      <w:pPr>
        <w:pStyle w:val="NoSpacing"/>
        <w:ind w:firstLine="720"/>
        <w:jc w:val="both"/>
        <w:rPr>
          <w:rFonts w:ascii="Times New Roman" w:eastAsia="Calibri" w:hAnsi="Times New Roman" w:cs="Times New Roman"/>
          <w:sz w:val="24"/>
          <w:lang w:val="sr-Latn-RS"/>
        </w:rPr>
      </w:pPr>
      <w:r w:rsidRPr="002033EF">
        <w:rPr>
          <w:rFonts w:ascii="Times New Roman" w:hAnsi="Times New Roman" w:cs="Times New Roman"/>
          <w:sz w:val="24"/>
          <w:lang w:val="sr-Latn-RS"/>
        </w:rPr>
        <w:t xml:space="preserve">Ipak, značajne razlike između zemalja se javljaju na osnovu dve dimenzije: razvijenosti tržišta rada (odnosno jačine ekonomije) i javnih politika prema mladima. Walter </w:t>
      </w:r>
      <w:r w:rsidRPr="002033EF">
        <w:rPr>
          <w:rFonts w:ascii="Times New Roman" w:hAnsi="Times New Roman" w:cs="Times New Roman"/>
          <w:i/>
          <w:sz w:val="24"/>
          <w:lang w:val="sr-Latn-RS"/>
        </w:rPr>
        <w:t>et al.</w:t>
      </w:r>
      <w:r w:rsidRPr="002033EF">
        <w:rPr>
          <w:rFonts w:ascii="Times New Roman" w:hAnsi="Times New Roman" w:cs="Times New Roman"/>
          <w:sz w:val="24"/>
          <w:lang w:val="sr-Latn-RS"/>
        </w:rPr>
        <w:t xml:space="preserve"> daju </w:t>
      </w:r>
      <w:r w:rsidRPr="002033EF">
        <w:rPr>
          <w:rFonts w:ascii="Times New Roman" w:hAnsi="Times New Roman" w:cs="Times New Roman"/>
          <w:sz w:val="24"/>
          <w:lang w:val="sr-Latn-RS"/>
        </w:rPr>
        <w:lastRenderedPageBreak/>
        <w:t xml:space="preserve">klasifikaciju tranzitornih režima mladih u Evropi razlikujući pet režima: liberalni, univerzalistički, sub-protektivni, orijentisan ka zapošljavanju i postsocijalsitički. </w:t>
      </w:r>
      <w:r w:rsidRPr="002033EF">
        <w:rPr>
          <w:rFonts w:ascii="Times New Roman" w:eastAsia="Calibri" w:hAnsi="Times New Roman" w:cs="Times New Roman"/>
          <w:i/>
          <w:iCs/>
          <w:sz w:val="24"/>
          <w:lang w:val="sr-Latn-RS"/>
        </w:rPr>
        <w:t>Univerzalistički režim</w:t>
      </w:r>
      <w:r w:rsidRPr="002033EF">
        <w:rPr>
          <w:rFonts w:ascii="Times New Roman" w:eastAsia="Calibri" w:hAnsi="Times New Roman" w:cs="Times New Roman"/>
          <w:iCs/>
          <w:sz w:val="24"/>
          <w:lang w:val="sr-Latn-RS"/>
        </w:rPr>
        <w:t xml:space="preserve"> karakteriše skandinavske zemlje u Evropi i uključuje visok nivo obuhvata obrazovanja na svim nivoima; finansiranje nejvećeg dela obrazovanja od strane države; individualizacija i građanska odgovornost predstavljaju cilj obrazovanja; sveobuhvatan sistem socijalne zaštite i podrške pojedincu i posebno roditeljima; izbalansiranost rodnih odnosa u sferi obrazovanja i sferi rada. </w:t>
      </w:r>
      <w:r w:rsidRPr="002033EF">
        <w:rPr>
          <w:rFonts w:ascii="Times New Roman" w:eastAsia="Calibri" w:hAnsi="Times New Roman" w:cs="Times New Roman"/>
          <w:i/>
          <w:iCs/>
          <w:sz w:val="24"/>
          <w:lang w:val="sr-Latn-RS"/>
        </w:rPr>
        <w:t>Usmeren ka zapošljavanju</w:t>
      </w:r>
      <w:r w:rsidRPr="002033EF">
        <w:rPr>
          <w:rFonts w:ascii="Times New Roman" w:eastAsia="Calibri" w:hAnsi="Times New Roman" w:cs="Times New Roman"/>
          <w:sz w:val="24"/>
          <w:lang w:val="sr-Latn-RS"/>
        </w:rPr>
        <w:t xml:space="preserve"> je prisutan u Nemačkoj, Austriji, Francuskoj i Holandiji i karakteriše ga sistem obrazovanja koji je visoko diferenciran, selektivan i u službi tržišta rada; osnovni cilj obrazovanja je obuka za posao; sistem socijalne zaštite je manje inkluzivan jer favorizuje one koji su deo procesa obrazovanja ili (koji su trenutno ili su bili) aktivni na tržištu rada. </w:t>
      </w:r>
      <w:r w:rsidRPr="002033EF">
        <w:rPr>
          <w:rFonts w:ascii="Times New Roman" w:eastAsia="Calibri" w:hAnsi="Times New Roman" w:cs="Times New Roman"/>
          <w:i/>
          <w:iCs/>
          <w:sz w:val="24"/>
          <w:lang w:val="sr-Latn-RS"/>
        </w:rPr>
        <w:t xml:space="preserve">Liberalni </w:t>
      </w:r>
      <w:r w:rsidRPr="002033EF">
        <w:rPr>
          <w:rFonts w:ascii="Times New Roman" w:eastAsia="Calibri" w:hAnsi="Times New Roman" w:cs="Times New Roman"/>
          <w:sz w:val="24"/>
          <w:lang w:val="sr-Latn-RS"/>
        </w:rPr>
        <w:t xml:space="preserve">režim je prisutan u anglosaksonskim zemljama i njegova ključna osobina je značaj koji ima tržište rada. Država tranziciju ka tržištu rada ostavlja pojedincima i njihovim kapacitetimama, a period mladosti predstavlja prelaznu i pripremnu fazu za zaposlenje. Iako je tržište rada veoma razvijeno i mladi uspevaju relativno lako da dođu do zaposlenja, ono sa sobom nosi dosta (i sve više) rizika jer tranzicija najčešće podrazumeva obavaljanje privremenih poslova. </w:t>
      </w:r>
      <w:r w:rsidRPr="002033EF">
        <w:rPr>
          <w:rFonts w:ascii="Times New Roman" w:eastAsia="Calibri" w:hAnsi="Times New Roman" w:cs="Times New Roman"/>
          <w:i/>
          <w:iCs/>
          <w:sz w:val="24"/>
          <w:lang w:val="sr-Latn-RS"/>
        </w:rPr>
        <w:t>Subprotektivni</w:t>
      </w:r>
      <w:r w:rsidRPr="002033EF">
        <w:rPr>
          <w:rFonts w:ascii="Times New Roman" w:eastAsia="Calibri" w:hAnsi="Times New Roman" w:cs="Times New Roman"/>
          <w:sz w:val="24"/>
          <w:lang w:val="sr-Latn-RS"/>
        </w:rPr>
        <w:t xml:space="preserve"> karakteriše zemlje juga Evrope u kojima je nedovoljno nerazvijeno tržište rada i sami tim opcije za zaposlenje mladih niske. Posle završene škole mladi najčešće imaju period čekanja do ulaska u sferu rada. Sistemska podrška tokom obrazovanja i nezaposlenima je niska što mlade čini veoma zavisnim od svojih roditelja. Socijalna zaštita je nerazvijena tako da veći deo usluga koje u zemljama severa Evrope obezbeđuje država na jugu su deo međugeneracijske razmen i podrške (Walther et al. 2009: 18-21).</w:t>
      </w:r>
    </w:p>
    <w:p w:rsidR="002033EF" w:rsidRPr="002033EF" w:rsidRDefault="002033EF" w:rsidP="002033EF">
      <w:pPr>
        <w:pStyle w:val="NoSpacing"/>
        <w:ind w:firstLine="720"/>
        <w:jc w:val="both"/>
        <w:rPr>
          <w:rFonts w:ascii="Times New Roman" w:hAnsi="Times New Roman" w:cs="Times New Roman"/>
          <w:sz w:val="24"/>
          <w:lang w:val="sr-Latn-RS"/>
        </w:rPr>
      </w:pPr>
      <w:r w:rsidRPr="002033EF">
        <w:rPr>
          <w:rFonts w:ascii="Times New Roman" w:hAnsi="Times New Roman" w:cs="Times New Roman"/>
          <w:sz w:val="24"/>
          <w:lang w:val="sr-Latn-RS"/>
        </w:rPr>
        <w:t xml:space="preserve">Postsocijalističke zemlje imaju autohtono razvijeno nasleđe socijalne države ali i izražene karakteristike subprotektivnih režima. U većini postsocijalističkih društava (uključujući i Srbiju), razvoj sistema socijalne zaštite je od vremena socijalizma zasutavljen ili je transformisan u pravcu da je njegov obuhvat najčešće nedovoljan a sistem mera podrške nepouzdan. Sistem podrške pojedincima tokom tranzcijie kroz obrazovanje i posebno ka tržištu rada je nedovoljno razvijen, tako da se mladi prilikom svih tranzicija (obrazovnih, radnih i porodičnih) u velikoj meri oslanjaju na resurse porodice. Posledica ovakvog načina transfera resursa između generacija dovodi do reprodukovanja postojećih i stvaranja novih oblika nejednakosti. Domaća istraživanja ukazuju da je nezaposlenost mladih i dužina čekanja na posao u direktnoj vezi sa njihovim nivoom obrazovanja, obrazovanjem roditelja, materijalnim stanjem domaćinstva i socijalnim kapitalom, odnosno da se mladi tokom odrastanja (ali i posle toga) u velikoj meri oslanjanju na resurse svojih roditelja (Mojić, 2012). Pored direktne materijalne podrške, mladi često koriste i poznanstva svojih roditelja. Istraživanje Instituta za sociološka istraživanja, 2011. godine je pokazalo da je četvrtina mladih prilikom traženja poslova koristilo kontakte svojih roditelja, a do onih koji su zaposleni četvrtina tvrdi da je posao dobila na ovaj način. </w:t>
      </w:r>
    </w:p>
    <w:p w:rsidR="002033EF" w:rsidRPr="002033EF" w:rsidRDefault="002033EF" w:rsidP="002033EF">
      <w:pPr>
        <w:pStyle w:val="NoSpacing"/>
        <w:ind w:firstLine="720"/>
        <w:jc w:val="both"/>
        <w:rPr>
          <w:rFonts w:ascii="Times New Roman" w:hAnsi="Times New Roman" w:cs="Times New Roman"/>
          <w:sz w:val="24"/>
          <w:lang w:val="sr-Latn-RS"/>
        </w:rPr>
      </w:pPr>
      <w:r w:rsidRPr="002033EF">
        <w:rPr>
          <w:rFonts w:ascii="Times New Roman" w:hAnsi="Times New Roman" w:cs="Times New Roman"/>
          <w:sz w:val="24"/>
          <w:lang w:val="sr-Latn-RS"/>
        </w:rPr>
        <w:t xml:space="preserve">Značajan aspekt koji određuje tranziciju mladih ka tržištu rada predstavlja proces formalnog obrazovanja i neformalnog ili formalnog sticanja kompetencija za rad. Istraživanja ukazuju da sistem obrazovanja ne reaguje na ionako nefleksibilne trendove na tržištu rada. Mladi u procesu školovanja uglavnom ne rade i pritom nisu motivisani da rade (Arandarenko, et al, 2013). Obrazovni kurikulumi na svim nivoima obrazovanja najčešće ne sadrže dovoljno praktičnih vežbi i povezanost sa potencijalnim poslodavcima. Podaci o radu uz studije ukazuju da u Srbiji (ali i regionu) rad predstavlja svojevrsnu privilegiju, koja će mladima iz boljestojećih porodica omogućiti uspešniju i bržu tranziciju ka tržištu rada. Istraživanja u Zapadnoj Evropi ukazuju suprotno, da rad preko određenog nivoa angažmana najčešće ometa studije, snižava aspiracije i prolongira putanju ka željenom zaposlenju (Stanojević </w:t>
      </w:r>
      <w:r w:rsidRPr="002033EF">
        <w:rPr>
          <w:rFonts w:ascii="Times New Roman" w:hAnsi="Times New Roman" w:cs="Times New Roman"/>
          <w:i/>
          <w:sz w:val="24"/>
          <w:lang w:val="sr-Latn-RS"/>
        </w:rPr>
        <w:t>et al</w:t>
      </w:r>
      <w:r w:rsidRPr="002033EF">
        <w:rPr>
          <w:rFonts w:ascii="Times New Roman" w:hAnsi="Times New Roman" w:cs="Times New Roman"/>
          <w:sz w:val="24"/>
          <w:lang w:val="sr-Latn-RS"/>
        </w:rPr>
        <w:t xml:space="preserve"> 2015). </w:t>
      </w:r>
    </w:p>
    <w:p w:rsidR="0047363D" w:rsidRPr="002033EF" w:rsidRDefault="0047363D" w:rsidP="00D96017">
      <w:pPr>
        <w:jc w:val="both"/>
        <w:rPr>
          <w:rFonts w:ascii="Times New Roman" w:hAnsi="Times New Roman" w:cs="Times New Roman"/>
          <w:sz w:val="24"/>
          <w:lang w:val="sr-Latn-RS"/>
        </w:rPr>
      </w:pPr>
    </w:p>
    <w:p w:rsidR="002033EF" w:rsidRPr="002033EF" w:rsidRDefault="002033EF" w:rsidP="002033EF">
      <w:pPr>
        <w:pStyle w:val="NoSpacing"/>
        <w:ind w:firstLine="720"/>
        <w:jc w:val="both"/>
        <w:rPr>
          <w:rFonts w:ascii="Times New Roman" w:hAnsi="Times New Roman" w:cs="Times New Roman"/>
          <w:sz w:val="24"/>
          <w:lang w:val="sr-Latn-RS"/>
        </w:rPr>
      </w:pPr>
      <w:r w:rsidRPr="002033EF">
        <w:rPr>
          <w:rFonts w:ascii="Times New Roman" w:hAnsi="Times New Roman" w:cs="Times New Roman"/>
          <w:sz w:val="24"/>
          <w:lang w:val="sr-Latn-RS"/>
        </w:rPr>
        <w:lastRenderedPageBreak/>
        <w:t>Mlade u Srbiji karakteriše još uvek veoma prolongirana i neizvesna tranzicija od obrazovanja ka tržištu rada, tranzicija koja sa istrajavanjem, pa i produbljivanjem ekonomske krize postaje još problematičnija. Uzroke ovakvom stanju možemo prepoznati u nedovoljno razvijenoj privredi, recesiji i smanjenju privrednih aktivnosti kao posledici ekonomske krize, merama štedenje, ali i novim normativnim okvirima koji su deo paketa neoliberalizacije koji za cilj imaju fleksibilniju, mobilniju i jeftiniju radnu snagu.</w:t>
      </w:r>
    </w:p>
    <w:p w:rsidR="002033EF" w:rsidRPr="002033EF" w:rsidRDefault="002033EF" w:rsidP="002033EF">
      <w:pPr>
        <w:pStyle w:val="NoSpacing"/>
        <w:jc w:val="both"/>
        <w:rPr>
          <w:rFonts w:ascii="Times New Roman" w:hAnsi="Times New Roman" w:cs="Times New Roman"/>
          <w:sz w:val="24"/>
          <w:lang w:val="sr-Latn-RS"/>
        </w:rPr>
      </w:pPr>
      <w:r w:rsidRPr="002033EF">
        <w:rPr>
          <w:rFonts w:ascii="Times New Roman" w:hAnsi="Times New Roman" w:cs="Times New Roman"/>
          <w:sz w:val="24"/>
          <w:lang w:val="sr-Latn-RS"/>
        </w:rPr>
        <w:t xml:space="preserve">Prvi problem u prelasku iz sistema obrazovanja u sferu rada je veoma visoka stopa nezaposlenosti odmah po završetku obrazovanja (svega trećina mladih uspe da dođe do nekog posla) ali i nakon pet godina kada tek nešto više od polovine mladih ima posao. Da se ne radi o strukturnim oblicima nezaposlenosti otkrivaju analize o veoma visokom učešću dugoročne nezaposlenosti </w:t>
      </w:r>
      <w:r w:rsidRPr="002033EF">
        <w:rPr>
          <w:rFonts w:ascii="Times New Roman" w:hAnsi="Times New Roman" w:cs="Times New Roman"/>
          <w:sz w:val="24"/>
          <w:lang w:val="sr-Latn-RS"/>
        </w:rPr>
        <w:t xml:space="preserve">i </w:t>
      </w:r>
      <w:r w:rsidRPr="002033EF">
        <w:rPr>
          <w:rFonts w:ascii="Times New Roman" w:hAnsi="Times New Roman" w:cs="Times New Roman"/>
          <w:sz w:val="24"/>
          <w:lang w:val="sr-Latn-RS"/>
        </w:rPr>
        <w:t xml:space="preserve">upućuju da značajan broj mladih do posla ne može da dođe jer na strani tražnje nema dovoljno radnih mesta. Dalje, trendovi (ne)zaposlenosti mladih ukazuju na izvesne oporavke u poslednje dve godine, ali nešto viši stepen zaposlenosti (i pad nezaposlenosti) ima svoju cenu u tipu posla koje mladi obavljaju, uslovima rada i prava koja ostvaruju na tim poslovima.   </w:t>
      </w:r>
    </w:p>
    <w:p w:rsidR="002033EF" w:rsidRDefault="002033EF" w:rsidP="002033EF">
      <w:pPr>
        <w:pStyle w:val="NoSpacing"/>
        <w:jc w:val="both"/>
        <w:rPr>
          <w:rFonts w:ascii="Times New Roman" w:hAnsi="Times New Roman" w:cs="Times New Roman"/>
          <w:sz w:val="24"/>
          <w:lang w:val="sr-Latn-RS"/>
        </w:rPr>
      </w:pPr>
      <w:r w:rsidRPr="002033EF">
        <w:rPr>
          <w:rFonts w:ascii="Times New Roman" w:hAnsi="Times New Roman" w:cs="Times New Roman"/>
          <w:sz w:val="24"/>
          <w:lang w:val="sr-Latn-RS"/>
        </w:rPr>
        <w:t>Status na tržištu rada takođe otkriva prve nejednakosti među mladima. Sa povećanjem nivoa obrazovanja rastu i mogućnosti mladih da dođu do posla. Očekivano najbolje šanse na tržištu rada imaju oni sa diplomom fakulteta a najlošije oni bez formalnih kvalifikacija. Nejednakosti su prisutne i u odnosu na pol mlade osobe, tako što se rodna segregacija manifestuje u višim stopama nezaposlenosti i neaktiv</w:t>
      </w:r>
      <w:r>
        <w:rPr>
          <w:rFonts w:ascii="Times New Roman" w:hAnsi="Times New Roman" w:cs="Times New Roman"/>
          <w:sz w:val="24"/>
          <w:lang w:val="sr-Latn-RS"/>
        </w:rPr>
        <w:t xml:space="preserve">nosti žena. </w:t>
      </w:r>
    </w:p>
    <w:p w:rsidR="002033EF" w:rsidRPr="002033EF" w:rsidRDefault="002033EF" w:rsidP="002033EF">
      <w:pPr>
        <w:pStyle w:val="NoSpacing"/>
        <w:jc w:val="both"/>
        <w:rPr>
          <w:rFonts w:ascii="Times New Roman" w:hAnsi="Times New Roman" w:cs="Times New Roman"/>
          <w:sz w:val="24"/>
          <w:lang w:val="sr-Latn-RS"/>
        </w:rPr>
      </w:pPr>
    </w:p>
    <w:p w:rsidR="002033EF" w:rsidRDefault="002033EF" w:rsidP="002033EF">
      <w:pPr>
        <w:pStyle w:val="NoSpacing"/>
        <w:jc w:val="both"/>
        <w:rPr>
          <w:rFonts w:ascii="Times New Roman" w:hAnsi="Times New Roman" w:cs="Times New Roman"/>
          <w:sz w:val="24"/>
          <w:lang w:val="sr-Latn-RS"/>
        </w:rPr>
      </w:pPr>
      <w:r w:rsidRPr="002033EF">
        <w:rPr>
          <w:rFonts w:ascii="Times New Roman" w:hAnsi="Times New Roman" w:cs="Times New Roman"/>
          <w:sz w:val="24"/>
          <w:lang w:val="sr-Latn-RS"/>
        </w:rPr>
        <w:t xml:space="preserve">Rezultati dalje ukazuju da fleksibilni radni aranžmani postaju opcija (ili usud) za sve veći broj mladih i da iz godine u godinu raste učešće poslova sa ugovorom na određeno vreme. I na ovom mestu se pojavljuju nejednakosti među mladima s obzirom na nivo njihovog obrazovanja. Sa povećanjem nivoa obrazovnaja opada obavljanje onih poslova koji su najmanje stabilni – sezonski i povremeni, i generalno opadaju mogućnosti da će mlada osoba doći do posla sa ugovorom na nedoređeno vreme. Iznenađuje podatak da se u poslednje dve godine pojavljuju sezonski i povremeni poslovi na početku karijere visokoobrazovane mlade populacije. Ovaj ternd je prisutan i kada je reč o poslovima na određeno vreme. U toku posledenje decenije se ovaj oblik radnog aranžmana naročito povećao kod mladih sa visokim obrazovanjem ukazujući da pored realtivno boljeg položaja na tržištu rada koje ide sa višim obrazovanjem, istovremeno dolazi do manje stabilnih poslova za sve. </w:t>
      </w:r>
    </w:p>
    <w:p w:rsidR="002033EF" w:rsidRPr="002033EF" w:rsidRDefault="002033EF" w:rsidP="002033EF">
      <w:pPr>
        <w:pStyle w:val="NoSpacing"/>
        <w:jc w:val="both"/>
        <w:rPr>
          <w:rFonts w:ascii="Times New Roman" w:hAnsi="Times New Roman" w:cs="Times New Roman"/>
          <w:sz w:val="24"/>
          <w:lang w:val="sr-Latn-RS"/>
        </w:rPr>
      </w:pPr>
    </w:p>
    <w:p w:rsidR="002033EF" w:rsidRDefault="002033EF" w:rsidP="002033EF">
      <w:pPr>
        <w:pStyle w:val="NoSpacing"/>
        <w:jc w:val="both"/>
        <w:rPr>
          <w:rFonts w:ascii="Times New Roman" w:hAnsi="Times New Roman" w:cs="Times New Roman"/>
          <w:sz w:val="24"/>
          <w:lang w:val="sr-Latn-RS"/>
        </w:rPr>
      </w:pPr>
      <w:r w:rsidRPr="002033EF">
        <w:rPr>
          <w:rFonts w:ascii="Times New Roman" w:hAnsi="Times New Roman" w:cs="Times New Roman"/>
          <w:sz w:val="24"/>
          <w:lang w:val="sr-Latn-RS"/>
        </w:rPr>
        <w:t>Zabrinjavaju rezultati koji ukazuju da rastuća fleksibilizacija rada sa sobom nosi i povećanje rada u neregistrovanim firmama, ukazujući istovremeno na ustupke koje državna administracija (preko inspektorskih službi) čini privredi. Ovakva situacija predstavlja specifičnost perifernih (evropskih) privrednih sistema u kojima fleksibilizacija rada nije do kraja normativno uokrivena i gde je legitimno da se jedan deo privrednih aktivnosti dešava u sivoj zoni (pojefti</w:t>
      </w:r>
      <w:r>
        <w:rPr>
          <w:rFonts w:ascii="Times New Roman" w:hAnsi="Times New Roman" w:cs="Times New Roman"/>
          <w:sz w:val="24"/>
          <w:lang w:val="sr-Latn-RS"/>
        </w:rPr>
        <w:t xml:space="preserve">njujući troškove proizvodnje). </w:t>
      </w:r>
      <w:r w:rsidRPr="002033EF">
        <w:rPr>
          <w:rFonts w:ascii="Times New Roman" w:hAnsi="Times New Roman" w:cs="Times New Roman"/>
          <w:sz w:val="24"/>
          <w:lang w:val="sr-Latn-RS"/>
        </w:rPr>
        <w:t xml:space="preserve">U vezi sa poslednjim nalazima su i posebno zabrinjavajući rezultati da značajan deo mladih, a posebno mladih na početku svoje karijere, ne ostvaruje radnička prava. Pravo na prihod, plaćeno bolovanje, odmor, penzijsko i zdravstveno osiguranje je sve teže ostvariti preko zaposlenja. Prava koja je najteže ostvariti  su plaćeno bolovanje i plaćeni odmor. I na ovom mestu su jasne i verovatno najizraženije razlike među mladima s obzirom na njihov nivo obrazovanja, gde sa višim obrazovanjem rastu šanse za ostvarivanjem radničkih prava. </w:t>
      </w:r>
    </w:p>
    <w:p w:rsidR="002033EF" w:rsidRPr="002033EF" w:rsidRDefault="002033EF" w:rsidP="002033EF">
      <w:pPr>
        <w:pStyle w:val="NoSpacing"/>
        <w:jc w:val="both"/>
        <w:rPr>
          <w:rFonts w:ascii="Times New Roman" w:hAnsi="Times New Roman" w:cs="Times New Roman"/>
          <w:sz w:val="24"/>
          <w:lang w:val="sr-Latn-RS"/>
        </w:rPr>
      </w:pPr>
    </w:p>
    <w:p w:rsidR="002033EF" w:rsidRPr="002033EF" w:rsidRDefault="002033EF" w:rsidP="002033EF">
      <w:pPr>
        <w:pStyle w:val="NoSpacing"/>
        <w:jc w:val="both"/>
        <w:rPr>
          <w:rFonts w:ascii="Times New Roman" w:hAnsi="Times New Roman" w:cs="Times New Roman"/>
          <w:sz w:val="24"/>
          <w:lang w:val="sr-Latn-RS"/>
        </w:rPr>
      </w:pPr>
      <w:r>
        <w:rPr>
          <w:rFonts w:ascii="Times New Roman" w:hAnsi="Times New Roman" w:cs="Times New Roman"/>
          <w:sz w:val="24"/>
          <w:lang w:val="sr-Latn-RS"/>
        </w:rPr>
        <w:t>Podaci pokazuju</w:t>
      </w:r>
      <w:r w:rsidRPr="002033EF">
        <w:rPr>
          <w:rFonts w:ascii="Times New Roman" w:hAnsi="Times New Roman" w:cs="Times New Roman"/>
          <w:sz w:val="24"/>
          <w:lang w:val="sr-Latn-RS"/>
        </w:rPr>
        <w:t xml:space="preserve"> da su regionalne nejednakosti prisutne i da se beogradski region izdvaja kao tržište rada sa više mogućnosti i sigurnijim zaposlenjem. U ovom regionu je značajnije bolja struktura radne snage, niže stope (dugoročne) nezaposlenosti, više je stabilnijih radnih angažmana i posledično viši stepen ostvarenosti radničkih prava koja proizilaze iz rada. </w:t>
      </w:r>
    </w:p>
    <w:p w:rsidR="002033EF" w:rsidRPr="002033EF" w:rsidRDefault="002033EF" w:rsidP="002033EF">
      <w:pPr>
        <w:pStyle w:val="NoSpacing"/>
        <w:jc w:val="both"/>
        <w:rPr>
          <w:rFonts w:ascii="Times New Roman" w:hAnsi="Times New Roman" w:cs="Times New Roman"/>
          <w:sz w:val="24"/>
          <w:lang w:val="sr-Latn-RS"/>
        </w:rPr>
      </w:pPr>
    </w:p>
    <w:p w:rsidR="002033EF" w:rsidRDefault="002033EF" w:rsidP="002033EF">
      <w:pPr>
        <w:rPr>
          <w:rFonts w:ascii="Times New Roman" w:hAnsi="Times New Roman" w:cs="Times New Roman"/>
          <w:b/>
          <w:i/>
          <w:sz w:val="24"/>
        </w:rPr>
      </w:pPr>
    </w:p>
    <w:p w:rsidR="002033EF" w:rsidRPr="002033EF" w:rsidRDefault="002033EF" w:rsidP="002033EF">
      <w:pPr>
        <w:rPr>
          <w:rFonts w:ascii="Times New Roman" w:hAnsi="Times New Roman" w:cs="Times New Roman"/>
          <w:b/>
          <w:i/>
          <w:sz w:val="24"/>
        </w:rPr>
      </w:pPr>
      <w:r w:rsidRPr="0022247A">
        <w:rPr>
          <w:rFonts w:ascii="Times New Roman" w:hAnsi="Times New Roman" w:cs="Times New Roman"/>
          <w:b/>
          <w:i/>
          <w:sz w:val="24"/>
        </w:rPr>
        <w:t>Korišćena literatura:</w:t>
      </w:r>
    </w:p>
    <w:p w:rsidR="002033EF" w:rsidRPr="002033EF" w:rsidRDefault="002033EF" w:rsidP="002033EF">
      <w:pPr>
        <w:spacing w:line="240" w:lineRule="auto"/>
        <w:rPr>
          <w:rFonts w:ascii="Cambria" w:hAnsi="Cambria"/>
          <w:iCs/>
          <w:lang w:val="sr-Latn-CS"/>
        </w:rPr>
      </w:pPr>
      <w:r w:rsidRPr="002033EF">
        <w:rPr>
          <w:rFonts w:ascii="Times New Roman" w:hAnsi="Times New Roman" w:cs="Times New Roman"/>
          <w:iCs/>
        </w:rPr>
        <w:t xml:space="preserve">Arandarenko, M., Žarković-Rakić, J., Vladisavljević, M. (2013): </w:t>
      </w:r>
      <w:r w:rsidRPr="002033EF">
        <w:rPr>
          <w:rFonts w:ascii="Times New Roman" w:hAnsi="Times New Roman" w:cs="Times New Roman"/>
          <w:i/>
          <w:iCs/>
        </w:rPr>
        <w:t xml:space="preserve">Od neaktivnosti do nezaposlenosti, </w:t>
      </w:r>
      <w:r w:rsidRPr="002033EF">
        <w:rPr>
          <w:rFonts w:ascii="Times New Roman" w:hAnsi="Times New Roman" w:cs="Times New Roman"/>
          <w:iCs/>
        </w:rPr>
        <w:t xml:space="preserve">SIPRU, Beograd. </w:t>
      </w:r>
    </w:p>
    <w:p w:rsidR="002033EF" w:rsidRPr="002033EF" w:rsidRDefault="002033EF" w:rsidP="002033EF">
      <w:pPr>
        <w:rPr>
          <w:rFonts w:ascii="Times New Roman" w:hAnsi="Times New Roman" w:cs="Times New Roman"/>
          <w:iCs/>
        </w:rPr>
      </w:pPr>
      <w:r w:rsidRPr="002033EF">
        <w:rPr>
          <w:rFonts w:ascii="Times New Roman" w:hAnsi="Times New Roman" w:cs="Times New Roman"/>
          <w:iCs/>
        </w:rPr>
        <w:t xml:space="preserve">Arandarenko, M., (2011): </w:t>
      </w:r>
      <w:r w:rsidRPr="002033EF">
        <w:rPr>
          <w:rFonts w:ascii="Times New Roman" w:hAnsi="Times New Roman" w:cs="Times New Roman"/>
          <w:i/>
          <w:iCs/>
        </w:rPr>
        <w:t>Pomoćne strategije za oporavak od krize u jugoistočnoj Evropi: Studija procene: Srbija</w:t>
      </w:r>
      <w:r w:rsidRPr="002033EF">
        <w:rPr>
          <w:rFonts w:ascii="Times New Roman" w:hAnsi="Times New Roman" w:cs="Times New Roman"/>
          <w:iCs/>
        </w:rPr>
        <w:t xml:space="preserve">, Medunarodna organizacija rada, Tim za tehničku podršku dostojanstvenom radu i Kancelarija za centralnu i istočnu Evropu. – Budapest: ILO. </w:t>
      </w:r>
    </w:p>
    <w:p w:rsidR="002033EF" w:rsidRPr="002033EF" w:rsidRDefault="002033EF" w:rsidP="002033EF">
      <w:pPr>
        <w:spacing w:line="240" w:lineRule="auto"/>
        <w:rPr>
          <w:rFonts w:ascii="Times New Roman" w:hAnsi="Times New Roman" w:cs="Times New Roman"/>
          <w:iCs/>
          <w:lang w:val="sr-Latn-CS"/>
        </w:rPr>
      </w:pPr>
      <w:r w:rsidRPr="002033EF">
        <w:rPr>
          <w:rFonts w:ascii="Times New Roman" w:hAnsi="Times New Roman" w:cs="Times New Roman"/>
          <w:iCs/>
          <w:lang w:val="sr-Latn-CS"/>
        </w:rPr>
        <w:t xml:space="preserve">Brannen, J, Lewis, S., Nilsen, A. and Smithson, J. (eds) (2002): </w:t>
      </w:r>
      <w:r w:rsidRPr="002033EF">
        <w:rPr>
          <w:rFonts w:ascii="Times New Roman" w:hAnsi="Times New Roman" w:cs="Times New Roman"/>
          <w:i/>
          <w:iCs/>
          <w:lang w:val="sr-Latn-CS"/>
        </w:rPr>
        <w:t>Young Europeans, Work and Family: futures in transition</w:t>
      </w:r>
      <w:r w:rsidRPr="002033EF">
        <w:rPr>
          <w:rFonts w:ascii="Times New Roman" w:hAnsi="Times New Roman" w:cs="Times New Roman"/>
          <w:iCs/>
          <w:lang w:val="sr-Latn-CS"/>
        </w:rPr>
        <w:t>. London: Routledge.</w:t>
      </w:r>
    </w:p>
    <w:p w:rsidR="002033EF" w:rsidRPr="002033EF" w:rsidRDefault="002033EF" w:rsidP="002033EF">
      <w:pPr>
        <w:spacing w:line="240" w:lineRule="auto"/>
        <w:rPr>
          <w:rFonts w:ascii="Times New Roman" w:hAnsi="Times New Roman" w:cs="Times New Roman"/>
          <w:iCs/>
          <w:lang w:val="sr-Latn-CS"/>
        </w:rPr>
      </w:pPr>
      <w:r w:rsidRPr="002033EF">
        <w:rPr>
          <w:rFonts w:ascii="Times New Roman" w:hAnsi="Times New Roman" w:cs="Times New Roman"/>
          <w:iCs/>
          <w:lang w:val="sr-Latn-CS"/>
        </w:rPr>
        <w:t xml:space="preserve">Brannen, J., Nilsen, A. (2005): „Individualisation, Choice, and Structure: A Discussion on Current Trends in Sociological Analysis”, </w:t>
      </w:r>
      <w:r w:rsidRPr="002033EF">
        <w:rPr>
          <w:rFonts w:ascii="Times New Roman" w:hAnsi="Times New Roman" w:cs="Times New Roman"/>
          <w:i/>
          <w:iCs/>
          <w:lang w:val="sr-Latn-CS"/>
        </w:rPr>
        <w:t xml:space="preserve">The Sociological Review, </w:t>
      </w:r>
      <w:r w:rsidRPr="002033EF">
        <w:rPr>
          <w:rFonts w:ascii="Times New Roman" w:hAnsi="Times New Roman" w:cs="Times New Roman"/>
          <w:iCs/>
          <w:lang w:val="sr-Latn-CS"/>
        </w:rPr>
        <w:t>53, 3, 412–428.</w:t>
      </w:r>
    </w:p>
    <w:p w:rsidR="002033EF" w:rsidRPr="002033EF" w:rsidRDefault="002033EF" w:rsidP="002033EF">
      <w:pPr>
        <w:rPr>
          <w:rFonts w:ascii="Times New Roman" w:hAnsi="Times New Roman" w:cs="Times New Roman"/>
          <w:iCs/>
        </w:rPr>
      </w:pPr>
      <w:r w:rsidRPr="002033EF">
        <w:rPr>
          <w:rFonts w:ascii="Times New Roman" w:hAnsi="Times New Roman" w:cs="Times New Roman"/>
          <w:iCs/>
        </w:rPr>
        <w:t xml:space="preserve">CEDEFOP (2012) </w:t>
      </w:r>
      <w:r w:rsidRPr="002033EF">
        <w:rPr>
          <w:rFonts w:ascii="Times New Roman" w:hAnsi="Times New Roman" w:cs="Times New Roman"/>
          <w:i/>
          <w:iCs/>
        </w:rPr>
        <w:t xml:space="preserve">From education to working life, The labour market outcomes of vocational education and training, </w:t>
      </w:r>
      <w:r w:rsidRPr="002033EF">
        <w:rPr>
          <w:rFonts w:ascii="Times New Roman" w:hAnsi="Times New Roman" w:cs="Times New Roman"/>
          <w:iCs/>
        </w:rPr>
        <w:t>Luxembourg: Publications Office of the European Union.</w:t>
      </w:r>
      <w:r w:rsidRPr="002033EF">
        <w:rPr>
          <w:rFonts w:ascii="Times New Roman" w:hAnsi="Times New Roman" w:cs="Times New Roman"/>
          <w:i/>
          <w:iCs/>
        </w:rPr>
        <w:t xml:space="preserve"> </w:t>
      </w:r>
    </w:p>
    <w:p w:rsidR="002033EF" w:rsidRPr="002033EF" w:rsidRDefault="002033EF" w:rsidP="002033EF">
      <w:pPr>
        <w:spacing w:line="240" w:lineRule="auto"/>
        <w:rPr>
          <w:rFonts w:ascii="Times New Roman" w:hAnsi="Times New Roman" w:cs="Times New Roman"/>
          <w:iCs/>
          <w:lang w:val="sr-Latn-CS"/>
        </w:rPr>
      </w:pPr>
      <w:r w:rsidRPr="002033EF">
        <w:rPr>
          <w:rFonts w:ascii="Times New Roman" w:eastAsia="Calibri" w:hAnsi="Times New Roman" w:cs="Times New Roman"/>
          <w:iCs/>
          <w:lang w:val="sr-Latn-CS"/>
        </w:rPr>
        <w:t>Goo</w:t>
      </w:r>
      <w:r w:rsidRPr="002033EF">
        <w:rPr>
          <w:rFonts w:ascii="Times New Roman" w:hAnsi="Times New Roman" w:cs="Times New Roman"/>
          <w:iCs/>
          <w:lang w:val="sr-Latn-CS"/>
        </w:rPr>
        <w:t>dwin, J., O’Connor, H. (2009): „</w:t>
      </w:r>
      <w:r w:rsidRPr="002033EF">
        <w:rPr>
          <w:rFonts w:ascii="Times New Roman" w:eastAsia="Calibri" w:hAnsi="Times New Roman" w:cs="Times New Roman"/>
          <w:iCs/>
          <w:lang w:val="sr-Latn-CS"/>
        </w:rPr>
        <w:t xml:space="preserve">Youth and generation: in the midst of an adult world“, in: Furlong, A. (ed.) </w:t>
      </w:r>
      <w:r w:rsidRPr="002033EF">
        <w:rPr>
          <w:rFonts w:ascii="Times New Roman" w:eastAsia="Calibri" w:hAnsi="Times New Roman" w:cs="Times New Roman"/>
          <w:i/>
          <w:iCs/>
          <w:lang w:val="sr-Latn-CS"/>
        </w:rPr>
        <w:t xml:space="preserve">Handbook of Youth and Young Adulthood. New Perspectives and Agendas, </w:t>
      </w:r>
      <w:r w:rsidRPr="002033EF">
        <w:rPr>
          <w:rFonts w:ascii="Times New Roman" w:eastAsia="Calibri" w:hAnsi="Times New Roman" w:cs="Times New Roman"/>
          <w:iCs/>
          <w:lang w:val="sr-Latn-CS"/>
        </w:rPr>
        <w:t>London, New York: Routledge: 22 - 30.</w:t>
      </w:r>
    </w:p>
    <w:p w:rsidR="002033EF" w:rsidRPr="002033EF" w:rsidRDefault="002033EF" w:rsidP="002033EF">
      <w:pPr>
        <w:rPr>
          <w:rFonts w:ascii="Times New Roman" w:hAnsi="Times New Roman" w:cs="Times New Roman"/>
          <w:i/>
          <w:iCs/>
        </w:rPr>
      </w:pPr>
      <w:r w:rsidRPr="002033EF">
        <w:rPr>
          <w:rFonts w:ascii="Times New Roman" w:hAnsi="Times New Roman" w:cs="Times New Roman"/>
          <w:iCs/>
        </w:rPr>
        <w:t xml:space="preserve">Keep, E., (2012): </w:t>
      </w:r>
      <w:r w:rsidRPr="002033EF">
        <w:rPr>
          <w:rFonts w:ascii="Times New Roman" w:hAnsi="Times New Roman" w:cs="Times New Roman"/>
          <w:i/>
          <w:iCs/>
        </w:rPr>
        <w:t xml:space="preserve">Youth Transitions, the Labour Market and Entry into Employment: Some Reflections and Questions, </w:t>
      </w:r>
      <w:r w:rsidRPr="002033EF">
        <w:rPr>
          <w:rFonts w:ascii="Times New Roman" w:hAnsi="Times New Roman" w:cs="Times New Roman"/>
          <w:iCs/>
        </w:rPr>
        <w:t>SKOPE Research Paper No. 108.</w:t>
      </w:r>
      <w:r w:rsidRPr="002033EF">
        <w:rPr>
          <w:rFonts w:ascii="Times New Roman" w:hAnsi="Times New Roman" w:cs="Times New Roman"/>
          <w:i/>
          <w:iCs/>
        </w:rPr>
        <w:t xml:space="preserve"> </w:t>
      </w:r>
    </w:p>
    <w:p w:rsidR="002033EF" w:rsidRPr="002033EF" w:rsidRDefault="002033EF" w:rsidP="002033EF">
      <w:pPr>
        <w:rPr>
          <w:rFonts w:ascii="Times New Roman" w:hAnsi="Times New Roman" w:cs="Times New Roman"/>
          <w:iCs/>
        </w:rPr>
      </w:pPr>
      <w:r w:rsidRPr="002033EF">
        <w:rPr>
          <w:rFonts w:ascii="Times New Roman" w:hAnsi="Times New Roman" w:cs="Times New Roman"/>
          <w:iCs/>
        </w:rPr>
        <w:t xml:space="preserve">Krstić, G., </w:t>
      </w:r>
      <w:r w:rsidRPr="002033EF">
        <w:rPr>
          <w:rFonts w:ascii="Times New Roman" w:hAnsi="Times New Roman" w:cs="Times New Roman"/>
          <w:i/>
          <w:iCs/>
        </w:rPr>
        <w:t>et al</w:t>
      </w:r>
      <w:r w:rsidRPr="002033EF">
        <w:rPr>
          <w:rFonts w:ascii="Times New Roman" w:hAnsi="Times New Roman" w:cs="Times New Roman"/>
          <w:iCs/>
        </w:rPr>
        <w:t xml:space="preserve"> (2010) </w:t>
      </w:r>
      <w:r w:rsidRPr="002033EF">
        <w:rPr>
          <w:rFonts w:ascii="Times New Roman" w:hAnsi="Times New Roman" w:cs="Times New Roman"/>
          <w:i/>
          <w:iCs/>
        </w:rPr>
        <w:t>Položaj ranjivih grupa na tržištu rada Srbije</w:t>
      </w:r>
      <w:r w:rsidRPr="002033EF">
        <w:rPr>
          <w:rFonts w:ascii="Times New Roman" w:hAnsi="Times New Roman" w:cs="Times New Roman"/>
          <w:iCs/>
        </w:rPr>
        <w:t xml:space="preserve">¸ FREN, Beograd. </w:t>
      </w:r>
    </w:p>
    <w:p w:rsidR="002033EF" w:rsidRPr="002033EF" w:rsidRDefault="002033EF" w:rsidP="002033EF">
      <w:pPr>
        <w:rPr>
          <w:rFonts w:ascii="Times New Roman" w:hAnsi="Times New Roman" w:cs="Times New Roman"/>
          <w:iCs/>
        </w:rPr>
      </w:pPr>
      <w:r w:rsidRPr="002033EF">
        <w:rPr>
          <w:rFonts w:ascii="Times New Roman" w:hAnsi="Times New Roman" w:cs="Times New Roman"/>
        </w:rPr>
        <w:t xml:space="preserve">Matković </w:t>
      </w:r>
      <w:r w:rsidRPr="002033EF">
        <w:rPr>
          <w:rFonts w:ascii="Times New Roman" w:hAnsi="Times New Roman" w:cs="Times New Roman"/>
          <w:i/>
        </w:rPr>
        <w:t>et al</w:t>
      </w:r>
      <w:r w:rsidRPr="002033EF">
        <w:rPr>
          <w:rFonts w:ascii="Times New Roman" w:hAnsi="Times New Roman" w:cs="Times New Roman"/>
        </w:rPr>
        <w:t xml:space="preserve"> (2013): </w:t>
      </w:r>
      <w:r w:rsidRPr="002033EF">
        <w:rPr>
          <w:rFonts w:ascii="Times New Roman" w:hAnsi="Times New Roman" w:cs="Times New Roman"/>
          <w:i/>
        </w:rPr>
        <w:t>Prihodi i uslovi života</w:t>
      </w:r>
      <w:r w:rsidRPr="002033EF">
        <w:rPr>
          <w:rFonts w:ascii="Times New Roman" w:hAnsi="Times New Roman" w:cs="Times New Roman"/>
        </w:rPr>
        <w:t xml:space="preserve">, Republički zavod za statistiku, Srbija. </w:t>
      </w:r>
    </w:p>
    <w:p w:rsidR="002033EF" w:rsidRPr="002033EF" w:rsidRDefault="002033EF" w:rsidP="002033EF">
      <w:pPr>
        <w:spacing w:after="0"/>
        <w:jc w:val="both"/>
        <w:rPr>
          <w:rFonts w:ascii="Times New Roman" w:hAnsi="Times New Roman" w:cs="Times New Roman"/>
        </w:rPr>
      </w:pPr>
      <w:r w:rsidRPr="002033EF">
        <w:rPr>
          <w:rFonts w:ascii="Times New Roman" w:hAnsi="Times New Roman" w:cs="Times New Roman"/>
        </w:rPr>
        <w:t>Mojić, D. (2012): “</w:t>
      </w:r>
      <w:r w:rsidRPr="002033EF">
        <w:rPr>
          <w:rFonts w:ascii="Times New Roman" w:hAnsi="Times New Roman" w:cs="Times New Roman"/>
          <w:i/>
        </w:rPr>
        <w:t>Obrazovani i nezaposleni: oblikovanje radnih biografija mladih”</w:t>
      </w:r>
      <w:r w:rsidRPr="002033EF">
        <w:rPr>
          <w:rFonts w:ascii="Times New Roman" w:hAnsi="Times New Roman" w:cs="Times New Roman"/>
        </w:rPr>
        <w:t xml:space="preserve">, u: </w:t>
      </w:r>
      <w:r w:rsidRPr="002033EF">
        <w:rPr>
          <w:rFonts w:ascii="Times New Roman" w:hAnsi="Times New Roman" w:cs="Times New Roman"/>
          <w:i/>
        </w:rPr>
        <w:t>Mladi naša sadašnjost</w:t>
      </w:r>
      <w:r w:rsidRPr="002033EF">
        <w:rPr>
          <w:rFonts w:ascii="Times New Roman" w:hAnsi="Times New Roman" w:cs="Times New Roman"/>
        </w:rPr>
        <w:t xml:space="preserve"> (ed) Smiljka Tomanović, Belgrade, ISRFP, 111-125.</w:t>
      </w:r>
    </w:p>
    <w:p w:rsidR="002033EF" w:rsidRPr="002033EF" w:rsidRDefault="002033EF" w:rsidP="002033EF">
      <w:pPr>
        <w:pStyle w:val="NoSpacing"/>
        <w:rPr>
          <w:lang w:val="sr-Latn-CS"/>
        </w:rPr>
      </w:pPr>
    </w:p>
    <w:p w:rsidR="002033EF" w:rsidRPr="002033EF" w:rsidRDefault="002033EF" w:rsidP="002033EF">
      <w:pPr>
        <w:rPr>
          <w:rFonts w:ascii="Times New Roman" w:hAnsi="Times New Roman" w:cs="Times New Roman"/>
          <w:iCs/>
          <w:lang w:val="sr-Latn-CS"/>
        </w:rPr>
      </w:pPr>
      <w:r w:rsidRPr="002033EF">
        <w:rPr>
          <w:rFonts w:ascii="Times New Roman" w:hAnsi="Times New Roman" w:cs="Times New Roman"/>
          <w:iCs/>
          <w:lang w:val="sr-Latn-CS"/>
        </w:rPr>
        <w:t xml:space="preserve">O'Reilly, J., Eichorst, W., Gábos, A., Hadjivassiliou, K., Lain, D., Leschke, J., ... Villa, P. (2015). „Five Characteristics of Youth Unemployment in Europe: Flexibility, Education, Migration, Family Legacies, and EU Policy“. </w:t>
      </w:r>
      <w:r w:rsidRPr="002033EF">
        <w:rPr>
          <w:rFonts w:ascii="Times New Roman" w:hAnsi="Times New Roman" w:cs="Times New Roman"/>
          <w:i/>
          <w:iCs/>
          <w:lang w:val="sr-Latn-CS"/>
        </w:rPr>
        <w:t>Sage Open,</w:t>
      </w:r>
      <w:r w:rsidRPr="002033EF">
        <w:rPr>
          <w:rFonts w:ascii="Times New Roman" w:hAnsi="Times New Roman" w:cs="Times New Roman"/>
          <w:iCs/>
          <w:lang w:val="sr-Latn-CS"/>
        </w:rPr>
        <w:t xml:space="preserve"> 5(1), 1-19. </w:t>
      </w:r>
      <w:hyperlink r:id="rId6" w:history="1">
        <w:r w:rsidRPr="002033EF">
          <w:rPr>
            <w:rStyle w:val="Hyperlink"/>
            <w:rFonts w:ascii="Times New Roman" w:hAnsi="Times New Roman" w:cs="Times New Roman"/>
            <w:iCs/>
            <w:lang w:val="sr-Latn-CS"/>
          </w:rPr>
          <w:t>http://sgo.sagepub.com/content/5/1/2158244015574962</w:t>
        </w:r>
      </w:hyperlink>
      <w:r w:rsidRPr="002033EF">
        <w:rPr>
          <w:rFonts w:ascii="Times New Roman" w:hAnsi="Times New Roman" w:cs="Times New Roman"/>
          <w:iCs/>
          <w:lang w:val="sr-Latn-CS"/>
        </w:rPr>
        <w:t xml:space="preserve"> </w:t>
      </w:r>
    </w:p>
    <w:p w:rsidR="002033EF" w:rsidRPr="002033EF" w:rsidRDefault="002033EF" w:rsidP="002033EF">
      <w:pPr>
        <w:rPr>
          <w:rFonts w:ascii="Times New Roman" w:hAnsi="Times New Roman" w:cs="Times New Roman"/>
          <w:iCs/>
        </w:rPr>
      </w:pPr>
      <w:r w:rsidRPr="002033EF">
        <w:rPr>
          <w:rFonts w:ascii="Times New Roman" w:hAnsi="Times New Roman" w:cs="Times New Roman"/>
          <w:iCs/>
          <w:lang w:val="sr-Latn-CS"/>
        </w:rPr>
        <w:t>Stanojević, D., Živadinović, I., Ćekić-Marković, J. (2015): „</w:t>
      </w:r>
      <w:r w:rsidRPr="002033EF">
        <w:rPr>
          <w:rFonts w:ascii="Times New Roman" w:eastAsia="Calibri" w:hAnsi="Times New Roman" w:cs="Times New Roman"/>
          <w:iCs/>
        </w:rPr>
        <w:t>Studying and Working: aspirations and needs of students in Bosnia and Herzegovina, Montenegro and Serbia</w:t>
      </w:r>
      <w:r w:rsidRPr="002033EF">
        <w:rPr>
          <w:rFonts w:ascii="Times New Roman" w:hAnsi="Times New Roman" w:cs="Times New Roman"/>
          <w:iCs/>
        </w:rPr>
        <w:t xml:space="preserve">” u štampi. </w:t>
      </w:r>
    </w:p>
    <w:p w:rsidR="002033EF" w:rsidRPr="002033EF" w:rsidRDefault="002033EF" w:rsidP="002033EF">
      <w:pPr>
        <w:spacing w:line="240" w:lineRule="auto"/>
        <w:rPr>
          <w:rFonts w:ascii="Times New Roman" w:hAnsi="Times New Roman" w:cs="Times New Roman"/>
          <w:iCs/>
          <w:lang w:val="sr-Latn-CS"/>
        </w:rPr>
      </w:pPr>
      <w:r w:rsidRPr="002033EF">
        <w:rPr>
          <w:rFonts w:ascii="Times New Roman" w:hAnsi="Times New Roman" w:cs="Times New Roman"/>
          <w:iCs/>
          <w:lang w:val="sr-Latn-CS"/>
        </w:rPr>
        <w:t xml:space="preserve">Tomanović, S. et al. (2012): </w:t>
      </w:r>
      <w:r w:rsidRPr="002033EF">
        <w:rPr>
          <w:rFonts w:ascii="Times New Roman" w:hAnsi="Times New Roman" w:cs="Times New Roman"/>
          <w:i/>
          <w:iCs/>
          <w:lang w:val="sr-Latn-CS"/>
        </w:rPr>
        <w:t>Mladi – naša sadašnjost</w:t>
      </w:r>
      <w:r w:rsidRPr="002033EF">
        <w:rPr>
          <w:rFonts w:ascii="Times New Roman" w:hAnsi="Times New Roman" w:cs="Times New Roman"/>
          <w:iCs/>
          <w:lang w:val="sr-Latn-CS"/>
        </w:rPr>
        <w:t xml:space="preserve">, ISIFF, Beograd. </w:t>
      </w:r>
    </w:p>
    <w:p w:rsidR="002033EF" w:rsidRPr="002033EF" w:rsidRDefault="002033EF" w:rsidP="002033EF">
      <w:pPr>
        <w:spacing w:line="240" w:lineRule="auto"/>
        <w:rPr>
          <w:rFonts w:ascii="Times New Roman" w:hAnsi="Times New Roman" w:cs="Times New Roman"/>
          <w:iCs/>
          <w:lang w:val="sr-Latn-CS"/>
        </w:rPr>
      </w:pPr>
      <w:r w:rsidRPr="002033EF">
        <w:rPr>
          <w:rFonts w:ascii="Times New Roman" w:hAnsi="Times New Roman" w:cs="Times New Roman"/>
          <w:iCs/>
          <w:lang w:val="sr-Latn-CS"/>
        </w:rPr>
        <w:t xml:space="preserve">Wallace, C. and Kovatcheva S., (1998): </w:t>
      </w:r>
      <w:r w:rsidRPr="002033EF">
        <w:rPr>
          <w:rFonts w:ascii="Times New Roman" w:hAnsi="Times New Roman" w:cs="Times New Roman"/>
          <w:i/>
          <w:iCs/>
          <w:lang w:val="sr-Latn-CS"/>
        </w:rPr>
        <w:t xml:space="preserve">Youth in Society: The Construction and Deconstruction of Youth in East and West Europe, </w:t>
      </w:r>
      <w:r w:rsidRPr="002033EF">
        <w:rPr>
          <w:rFonts w:ascii="Times New Roman" w:hAnsi="Times New Roman" w:cs="Times New Roman"/>
          <w:iCs/>
          <w:lang w:val="sr-Latn-CS"/>
        </w:rPr>
        <w:t>London : MacMillan.</w:t>
      </w:r>
    </w:p>
    <w:p w:rsidR="002033EF" w:rsidRPr="002033EF" w:rsidRDefault="002033EF" w:rsidP="002033EF">
      <w:pPr>
        <w:spacing w:line="240" w:lineRule="auto"/>
        <w:rPr>
          <w:rFonts w:ascii="Times New Roman" w:hAnsi="Times New Roman" w:cs="Times New Roman"/>
          <w:iCs/>
          <w:lang w:val="sr-Latn-CS"/>
        </w:rPr>
      </w:pPr>
      <w:r w:rsidRPr="002033EF">
        <w:rPr>
          <w:rFonts w:ascii="Times New Roman" w:hAnsi="Times New Roman" w:cs="Times New Roman"/>
          <w:iCs/>
          <w:lang w:val="sr-Latn-CS"/>
        </w:rPr>
        <w:t xml:space="preserve">Walther, A. (2006): “Regimes of Youth Transitions. Choice, flexibility and security in young people’s experiences across different European contexts”, </w:t>
      </w:r>
      <w:r w:rsidRPr="002033EF">
        <w:rPr>
          <w:rFonts w:ascii="Times New Roman" w:hAnsi="Times New Roman" w:cs="Times New Roman"/>
          <w:i/>
          <w:iCs/>
          <w:lang w:val="sr-Latn-CS"/>
        </w:rPr>
        <w:t>Young</w:t>
      </w:r>
      <w:r w:rsidRPr="002033EF">
        <w:rPr>
          <w:rFonts w:ascii="Times New Roman" w:hAnsi="Times New Roman" w:cs="Times New Roman"/>
          <w:iCs/>
          <w:lang w:val="sr-Latn-CS"/>
        </w:rPr>
        <w:t>, 14, 1, 119–141.</w:t>
      </w:r>
    </w:p>
    <w:p w:rsidR="002033EF" w:rsidRPr="002033EF" w:rsidRDefault="002033EF" w:rsidP="002033EF">
      <w:pPr>
        <w:spacing w:line="240" w:lineRule="auto"/>
        <w:rPr>
          <w:rFonts w:ascii="Times New Roman" w:hAnsi="Times New Roman" w:cs="Times New Roman"/>
          <w:iCs/>
          <w:lang w:val="sr-Latn-CS"/>
        </w:rPr>
      </w:pPr>
      <w:r w:rsidRPr="002033EF">
        <w:rPr>
          <w:rFonts w:ascii="Times New Roman" w:hAnsi="Times New Roman" w:cs="Times New Roman"/>
          <w:iCs/>
          <w:lang w:val="sr-Latn-CS"/>
        </w:rPr>
        <w:t xml:space="preserve">Walther, A., Stauber, B., Pohl, A. (2009): </w:t>
      </w:r>
      <w:r w:rsidRPr="002033EF">
        <w:rPr>
          <w:rFonts w:ascii="Times New Roman" w:hAnsi="Times New Roman" w:cs="Times New Roman"/>
          <w:i/>
          <w:iCs/>
          <w:lang w:val="sr-Latn-CS"/>
        </w:rPr>
        <w:t>Youth: Actor of Social Change. Final Report</w:t>
      </w:r>
      <w:r w:rsidRPr="002033EF">
        <w:rPr>
          <w:rFonts w:ascii="Times New Roman" w:hAnsi="Times New Roman" w:cs="Times New Roman"/>
          <w:iCs/>
          <w:lang w:val="sr-Latn-CS"/>
        </w:rPr>
        <w:t>. Tubingen: IRIS.</w:t>
      </w:r>
    </w:p>
    <w:p w:rsidR="002033EF" w:rsidRPr="002033EF" w:rsidRDefault="002033EF" w:rsidP="002033EF">
      <w:pPr>
        <w:autoSpaceDE w:val="0"/>
        <w:autoSpaceDN w:val="0"/>
        <w:adjustRightInd w:val="0"/>
        <w:spacing w:after="0" w:line="240" w:lineRule="auto"/>
        <w:rPr>
          <w:rFonts w:ascii="Times New Roman" w:hAnsi="Times New Roman" w:cs="Times New Roman"/>
          <w:bCs/>
          <w:color w:val="000000"/>
        </w:rPr>
      </w:pPr>
      <w:r w:rsidRPr="002033EF">
        <w:rPr>
          <w:rFonts w:ascii="Times New Roman" w:eastAsia="Calibri" w:hAnsi="Times New Roman" w:cs="Times New Roman"/>
          <w:iCs/>
        </w:rPr>
        <w:t xml:space="preserve">Zubović, J., (2011): </w:t>
      </w:r>
      <w:r w:rsidRPr="002033EF">
        <w:rPr>
          <w:rFonts w:ascii="Times New Roman" w:eastAsia="Calibri" w:hAnsi="Times New Roman" w:cs="Times New Roman"/>
          <w:bCs/>
          <w:i/>
          <w:iCs/>
        </w:rPr>
        <w:t xml:space="preserve">Aktivne mere na tržištu rada i pitanja zaposlenosti, </w:t>
      </w:r>
      <w:r w:rsidRPr="002033EF">
        <w:rPr>
          <w:rFonts w:ascii="Times New Roman" w:hAnsi="Times New Roman" w:cs="Times New Roman"/>
          <w:bCs/>
          <w:color w:val="000000"/>
        </w:rPr>
        <w:t xml:space="preserve">Institut ekonomskih nauka, Beograd. </w:t>
      </w:r>
    </w:p>
    <w:p w:rsidR="002033EF" w:rsidRPr="002033EF" w:rsidRDefault="002033EF" w:rsidP="00D96017">
      <w:pPr>
        <w:jc w:val="both"/>
        <w:rPr>
          <w:rFonts w:ascii="Times New Roman" w:hAnsi="Times New Roman" w:cs="Times New Roman"/>
          <w:lang w:val="sr-Latn-RS"/>
        </w:rPr>
      </w:pPr>
    </w:p>
    <w:sectPr w:rsidR="002033EF" w:rsidRPr="002033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0C5" w:rsidRDefault="007C50C5" w:rsidP="002033EF">
      <w:pPr>
        <w:spacing w:after="0" w:line="240" w:lineRule="auto"/>
      </w:pPr>
      <w:r>
        <w:separator/>
      </w:r>
    </w:p>
  </w:endnote>
  <w:endnote w:type="continuationSeparator" w:id="0">
    <w:p w:rsidR="007C50C5" w:rsidRDefault="007C50C5" w:rsidP="0020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0C5" w:rsidRDefault="007C50C5" w:rsidP="002033EF">
      <w:pPr>
        <w:spacing w:after="0" w:line="240" w:lineRule="auto"/>
      </w:pPr>
      <w:r>
        <w:separator/>
      </w:r>
    </w:p>
  </w:footnote>
  <w:footnote w:type="continuationSeparator" w:id="0">
    <w:p w:rsidR="007C50C5" w:rsidRDefault="007C50C5" w:rsidP="00203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17"/>
    <w:rsid w:val="00141C99"/>
    <w:rsid w:val="00191B0E"/>
    <w:rsid w:val="002033EF"/>
    <w:rsid w:val="00235179"/>
    <w:rsid w:val="00327977"/>
    <w:rsid w:val="0047363D"/>
    <w:rsid w:val="00493C4F"/>
    <w:rsid w:val="00587BF9"/>
    <w:rsid w:val="00593214"/>
    <w:rsid w:val="006D7741"/>
    <w:rsid w:val="00732A0C"/>
    <w:rsid w:val="00745D3C"/>
    <w:rsid w:val="007C50C5"/>
    <w:rsid w:val="007E500F"/>
    <w:rsid w:val="008041A8"/>
    <w:rsid w:val="00892336"/>
    <w:rsid w:val="008F47FE"/>
    <w:rsid w:val="0094345D"/>
    <w:rsid w:val="00A551EC"/>
    <w:rsid w:val="00BE3C46"/>
    <w:rsid w:val="00BF1A6E"/>
    <w:rsid w:val="00D96017"/>
    <w:rsid w:val="00E86897"/>
    <w:rsid w:val="00F5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A4B72-6C20-49D7-94C4-B9406B9F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23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3EF"/>
    <w:pPr>
      <w:spacing w:after="0" w:line="240" w:lineRule="auto"/>
    </w:pPr>
    <w:rPr>
      <w:rFonts w:eastAsiaTheme="minorEastAsia"/>
      <w:lang w:val="en-US"/>
    </w:rPr>
  </w:style>
  <w:style w:type="paragraph" w:styleId="FootnoteText">
    <w:name w:val="footnote text"/>
    <w:basedOn w:val="Normal"/>
    <w:link w:val="FootnoteTextChar"/>
    <w:uiPriority w:val="99"/>
    <w:semiHidden/>
    <w:unhideWhenUsed/>
    <w:rsid w:val="002033EF"/>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2033EF"/>
    <w:rPr>
      <w:rFonts w:eastAsiaTheme="minorEastAsia"/>
      <w:sz w:val="20"/>
      <w:szCs w:val="20"/>
      <w:lang w:val="en-US"/>
    </w:rPr>
  </w:style>
  <w:style w:type="character" w:styleId="FootnoteReference">
    <w:name w:val="footnote reference"/>
    <w:basedOn w:val="DefaultParagraphFont"/>
    <w:uiPriority w:val="99"/>
    <w:semiHidden/>
    <w:unhideWhenUsed/>
    <w:rsid w:val="002033EF"/>
    <w:rPr>
      <w:vertAlign w:val="superscript"/>
    </w:rPr>
  </w:style>
  <w:style w:type="character" w:styleId="Hyperlink">
    <w:name w:val="Hyperlink"/>
    <w:basedOn w:val="DefaultParagraphFont"/>
    <w:uiPriority w:val="99"/>
    <w:unhideWhenUsed/>
    <w:rsid w:val="002033EF"/>
    <w:rPr>
      <w:color w:val="0563C1" w:themeColor="hyperlink"/>
      <w:u w:val="single"/>
    </w:rPr>
  </w:style>
  <w:style w:type="character" w:customStyle="1" w:styleId="Heading1Char">
    <w:name w:val="Heading 1 Char"/>
    <w:basedOn w:val="DefaultParagraphFont"/>
    <w:link w:val="Heading1"/>
    <w:uiPriority w:val="9"/>
    <w:rsid w:val="008923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sagepub.com/content/5/1/215824401557496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stanojevic</dc:creator>
  <cp:keywords/>
  <dc:description/>
  <cp:lastModifiedBy>dragan stanojevic</cp:lastModifiedBy>
  <cp:revision>1</cp:revision>
  <dcterms:created xsi:type="dcterms:W3CDTF">2020-03-26T13:47:00Z</dcterms:created>
  <dcterms:modified xsi:type="dcterms:W3CDTF">2020-03-26T16:08:00Z</dcterms:modified>
</cp:coreProperties>
</file>