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CE" w:rsidRDefault="00530BCE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02423" w:rsidRPr="00C02423" w:rsidRDefault="00C02423" w:rsidP="00C02423">
      <w:pPr>
        <w:pStyle w:val="Heading1"/>
        <w:jc w:val="center"/>
        <w:rPr>
          <w:rFonts w:ascii="Times New Roman" w:hAnsi="Times New Roman" w:cs="Times New Roman"/>
        </w:rPr>
      </w:pPr>
      <w:proofErr w:type="spellStart"/>
      <w:r w:rsidRPr="00C02423">
        <w:rPr>
          <w:rFonts w:ascii="Times New Roman" w:hAnsi="Times New Roman" w:cs="Times New Roman"/>
        </w:rPr>
        <w:t>Porodica</w:t>
      </w:r>
      <w:proofErr w:type="spellEnd"/>
      <w:r w:rsidRPr="00C02423">
        <w:rPr>
          <w:rFonts w:ascii="Times New Roman" w:hAnsi="Times New Roman" w:cs="Times New Roman"/>
        </w:rPr>
        <w:t xml:space="preserve"> </w:t>
      </w:r>
      <w:proofErr w:type="spellStart"/>
      <w:r w:rsidRPr="00C02423">
        <w:rPr>
          <w:rFonts w:ascii="Times New Roman" w:hAnsi="Times New Roman" w:cs="Times New Roman"/>
        </w:rPr>
        <w:t>i</w:t>
      </w:r>
      <w:proofErr w:type="spellEnd"/>
      <w:r w:rsidRPr="00C02423">
        <w:rPr>
          <w:rFonts w:ascii="Times New Roman" w:hAnsi="Times New Roman" w:cs="Times New Roman"/>
        </w:rPr>
        <w:t xml:space="preserve"> </w:t>
      </w:r>
      <w:proofErr w:type="spellStart"/>
      <w:r w:rsidRPr="00C02423">
        <w:rPr>
          <w:rFonts w:ascii="Times New Roman" w:hAnsi="Times New Roman" w:cs="Times New Roman"/>
        </w:rPr>
        <w:t>vrednosti</w:t>
      </w:r>
      <w:proofErr w:type="spellEnd"/>
    </w:p>
    <w:p w:rsidR="00C02423" w:rsidRDefault="00C02423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02423" w:rsidRDefault="00C02423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30BCE" w:rsidRPr="00530BCE" w:rsidRDefault="00530BCE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govorimo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odnosu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vrednosti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porodičnog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polja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razlikujemo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nivoa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000000" w:rsidRPr="00530BCE" w:rsidRDefault="00530BCE" w:rsidP="00530BCE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sr-Latn-RS"/>
        </w:rPr>
        <w:t>1. Porodičnu ideologiju</w:t>
      </w:r>
    </w:p>
    <w:p w:rsidR="00000000" w:rsidRPr="00530BCE" w:rsidRDefault="004551D5" w:rsidP="00530BCE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0BCE">
        <w:rPr>
          <w:rFonts w:ascii="Times New Roman" w:hAnsi="Times New Roman" w:cs="Times New Roman"/>
          <w:iCs/>
          <w:sz w:val="24"/>
          <w:szCs w:val="24"/>
          <w:lang w:val="sr-Latn-RS"/>
        </w:rPr>
        <w:t>2. Porodični vrednosni sistem</w:t>
      </w:r>
    </w:p>
    <w:p w:rsidR="00000000" w:rsidRPr="00530BCE" w:rsidRDefault="00530BCE" w:rsidP="00530BCE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sr-Latn-RS"/>
        </w:rPr>
        <w:t>3. I</w:t>
      </w:r>
      <w:r w:rsidR="004551D5" w:rsidRPr="00530BCE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ndividualne porodične vrednosti </w:t>
      </w:r>
    </w:p>
    <w:p w:rsidR="00530BCE" w:rsidRDefault="00530BCE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odnosi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društvu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vidi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jedini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poželjan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porodice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4551D5">
        <w:rPr>
          <w:rFonts w:ascii="Times New Roman" w:hAnsi="Times New Roman" w:cs="Times New Roman"/>
          <w:iCs/>
          <w:sz w:val="24"/>
          <w:szCs w:val="24"/>
        </w:rPr>
        <w:t>poželjni</w:t>
      </w:r>
      <w:proofErr w:type="spellEnd"/>
      <w:r w:rsidR="004551D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551D5">
        <w:rPr>
          <w:rFonts w:ascii="Times New Roman" w:hAnsi="Times New Roman" w:cs="Times New Roman"/>
          <w:iCs/>
          <w:sz w:val="24"/>
          <w:szCs w:val="24"/>
        </w:rPr>
        <w:t>odnosi</w:t>
      </w:r>
      <w:proofErr w:type="spellEnd"/>
      <w:r w:rsidR="004551D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551D5">
        <w:rPr>
          <w:rFonts w:ascii="Times New Roman" w:hAnsi="Times New Roman" w:cs="Times New Roman"/>
          <w:iCs/>
          <w:sz w:val="24"/>
          <w:szCs w:val="24"/>
        </w:rPr>
        <w:t>unuta</w:t>
      </w:r>
      <w:proofErr w:type="spellEnd"/>
      <w:r w:rsidR="004551D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551D5">
        <w:rPr>
          <w:rFonts w:ascii="Times New Roman" w:hAnsi="Times New Roman" w:cs="Times New Roman"/>
          <w:iCs/>
          <w:sz w:val="24"/>
          <w:szCs w:val="24"/>
        </w:rPr>
        <w:t>porodice</w:t>
      </w:r>
      <w:proofErr w:type="spellEnd"/>
      <w:r w:rsidR="004551D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551D5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4551D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551D5">
        <w:rPr>
          <w:rFonts w:ascii="Times New Roman" w:hAnsi="Times New Roman" w:cs="Times New Roman"/>
          <w:iCs/>
          <w:sz w:val="24"/>
          <w:szCs w:val="24"/>
        </w:rPr>
        <w:t>odnosi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porodice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spoljnim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okruženjem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ovom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fenomenu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Donzelo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30BCE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530BCE">
        <w:rPr>
          <w:rFonts w:ascii="Times New Roman" w:hAnsi="Times New Roman" w:cs="Times New Roman"/>
          <w:iCs/>
          <w:sz w:val="24"/>
          <w:szCs w:val="24"/>
        </w:rPr>
        <w:t>Donzelot</w:t>
      </w:r>
      <w:proofErr w:type="spellEnd"/>
      <w:r w:rsidRPr="00530BCE">
        <w:rPr>
          <w:rFonts w:ascii="Times New Roman" w:hAnsi="Times New Roman" w:cs="Times New Roman"/>
          <w:iCs/>
          <w:sz w:val="24"/>
          <w:szCs w:val="24"/>
        </w:rPr>
        <w:t>, 1979)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pisao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familzmu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iCs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ideologiji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povezana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građanskim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društvom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značajem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nuklearnoj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porodici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heteronormativnosti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podeli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rodnih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sfera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vrednosti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prate. </w:t>
      </w:r>
    </w:p>
    <w:p w:rsidR="00530BCE" w:rsidRDefault="00530BCE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odnosi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vrednosni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porodice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grupe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Vrednosni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obrasci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stiču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unutar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porodice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gene</w:t>
      </w:r>
      <w:r w:rsidR="004551D5">
        <w:rPr>
          <w:rFonts w:ascii="Times New Roman" w:hAnsi="Times New Roman" w:cs="Times New Roman"/>
          <w:iCs/>
          <w:sz w:val="24"/>
          <w:szCs w:val="24"/>
        </w:rPr>
        <w:t>r</w:t>
      </w:r>
      <w:r w:rsidR="006E76A6">
        <w:rPr>
          <w:rFonts w:ascii="Times New Roman" w:hAnsi="Times New Roman" w:cs="Times New Roman"/>
          <w:iCs/>
          <w:sz w:val="24"/>
          <w:szCs w:val="24"/>
        </w:rPr>
        <w:t>acijski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prenose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. U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zavisnosti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6E76A6">
        <w:rPr>
          <w:rFonts w:ascii="Times New Roman" w:hAnsi="Times New Roman" w:cs="Times New Roman"/>
          <w:iCs/>
          <w:sz w:val="24"/>
          <w:szCs w:val="24"/>
        </w:rPr>
        <w:t>od</w:t>
      </w:r>
      <w:proofErr w:type="spellEnd"/>
      <w:proofErr w:type="gram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klase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sloja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mesta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stanovanja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nivoa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obrazovanja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vrednosni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sitemi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porodica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mogu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razlikovati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13141A" w:rsidRDefault="00530BCE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Treći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odnosi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pojedinci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imaju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prema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porodičnom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miljeu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prema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značaju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koj</w:t>
      </w:r>
      <w:r w:rsidR="004551D5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porodica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ima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za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pojedinca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prema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podeli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uloga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u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javnoj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privatnoj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sferi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seksualnosti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pravima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na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telo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6E76A6">
        <w:rPr>
          <w:rFonts w:ascii="Times New Roman" w:hAnsi="Times New Roman" w:cs="Times New Roman"/>
          <w:iCs/>
          <w:sz w:val="24"/>
          <w:szCs w:val="24"/>
        </w:rPr>
        <w:t>abortusu</w:t>
      </w:r>
      <w:proofErr w:type="spellEnd"/>
      <w:r w:rsidR="006E76A6">
        <w:rPr>
          <w:rFonts w:ascii="Times New Roman" w:hAnsi="Times New Roman" w:cs="Times New Roman"/>
          <w:iCs/>
          <w:sz w:val="24"/>
          <w:szCs w:val="24"/>
        </w:rPr>
        <w:t xml:space="preserve">) u dr. </w:t>
      </w:r>
    </w:p>
    <w:p w:rsidR="0013141A" w:rsidRDefault="0013141A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30BCE" w:rsidRDefault="0013141A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Inglehart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76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pravi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razliku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dve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skale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vrednosnih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orijentacija</w:t>
      </w:r>
      <w:proofErr w:type="spellEnd"/>
      <w:r w:rsidR="007920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9202D">
        <w:rPr>
          <w:rFonts w:ascii="Times New Roman" w:hAnsi="Times New Roman" w:cs="Times New Roman"/>
          <w:iCs/>
          <w:sz w:val="24"/>
          <w:szCs w:val="24"/>
        </w:rPr>
        <w:t>koje</w:t>
      </w:r>
      <w:proofErr w:type="spellEnd"/>
      <w:r w:rsidR="007920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9202D">
        <w:rPr>
          <w:rFonts w:ascii="Times New Roman" w:hAnsi="Times New Roman" w:cs="Times New Roman"/>
          <w:iCs/>
          <w:sz w:val="24"/>
          <w:szCs w:val="24"/>
        </w:rPr>
        <w:t>uključuju</w:t>
      </w:r>
      <w:proofErr w:type="spellEnd"/>
      <w:r w:rsidR="0079202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9202D">
        <w:rPr>
          <w:rFonts w:ascii="Times New Roman" w:hAnsi="Times New Roman" w:cs="Times New Roman"/>
          <w:iCs/>
          <w:sz w:val="24"/>
          <w:szCs w:val="24"/>
        </w:rPr>
        <w:t>sledeće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13141A" w:rsidRDefault="0013141A" w:rsidP="0013141A">
      <w:pPr>
        <w:pStyle w:val="Default"/>
        <w:rPr>
          <w:b/>
          <w:bCs/>
          <w:i/>
          <w:iCs/>
          <w:sz w:val="23"/>
          <w:szCs w:val="23"/>
        </w:rPr>
      </w:pPr>
      <w:proofErr w:type="spellStart"/>
      <w:r>
        <w:rPr>
          <w:b/>
          <w:bCs/>
          <w:i/>
          <w:iCs/>
          <w:sz w:val="23"/>
          <w:szCs w:val="23"/>
        </w:rPr>
        <w:t>Tradicionalne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vrednosti</w:t>
      </w:r>
      <w:proofErr w:type="spellEnd"/>
      <w:r w:rsidRPr="009665D7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vs. </w:t>
      </w:r>
      <w:proofErr w:type="spellStart"/>
      <w:r>
        <w:rPr>
          <w:b/>
          <w:bCs/>
          <w:i/>
          <w:iCs/>
          <w:sz w:val="23"/>
          <w:szCs w:val="23"/>
        </w:rPr>
        <w:t>Sekularno-racionalne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vrednosti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</w:p>
    <w:p w:rsidR="0013141A" w:rsidRPr="00AB38B9" w:rsidRDefault="0013141A" w:rsidP="0013141A">
      <w:pPr>
        <w:pStyle w:val="Default"/>
        <w:ind w:left="60"/>
        <w:rPr>
          <w:bCs/>
          <w:iCs/>
          <w:sz w:val="23"/>
          <w:szCs w:val="23"/>
        </w:rPr>
      </w:pPr>
      <w:proofErr w:type="spellStart"/>
      <w:r w:rsidRPr="00AB38B9">
        <w:rPr>
          <w:bCs/>
          <w:iCs/>
          <w:sz w:val="23"/>
          <w:szCs w:val="23"/>
        </w:rPr>
        <w:t>Značaj</w:t>
      </w:r>
      <w:proofErr w:type="spellEnd"/>
      <w:r w:rsidRPr="00AB38B9">
        <w:rPr>
          <w:bCs/>
          <w:iCs/>
          <w:sz w:val="23"/>
          <w:szCs w:val="23"/>
        </w:rPr>
        <w:t xml:space="preserve"> </w:t>
      </w:r>
      <w:proofErr w:type="spellStart"/>
      <w:r w:rsidRPr="00AB38B9">
        <w:rPr>
          <w:bCs/>
          <w:iCs/>
          <w:sz w:val="23"/>
          <w:szCs w:val="23"/>
        </w:rPr>
        <w:t>religije</w:t>
      </w:r>
      <w:proofErr w:type="spellEnd"/>
    </w:p>
    <w:p w:rsidR="0013141A" w:rsidRPr="00AB38B9" w:rsidRDefault="0013141A" w:rsidP="0013141A">
      <w:pPr>
        <w:pStyle w:val="Default"/>
        <w:ind w:left="60"/>
        <w:rPr>
          <w:bCs/>
          <w:iCs/>
          <w:sz w:val="23"/>
          <w:szCs w:val="23"/>
        </w:rPr>
      </w:pPr>
      <w:proofErr w:type="spellStart"/>
      <w:r w:rsidRPr="00AB38B9">
        <w:rPr>
          <w:bCs/>
          <w:iCs/>
          <w:sz w:val="23"/>
          <w:szCs w:val="23"/>
        </w:rPr>
        <w:t>Značaj</w:t>
      </w:r>
      <w:proofErr w:type="spellEnd"/>
      <w:r w:rsidRPr="00AB38B9">
        <w:rPr>
          <w:bCs/>
          <w:iCs/>
          <w:sz w:val="23"/>
          <w:szCs w:val="23"/>
        </w:rPr>
        <w:t xml:space="preserve"> </w:t>
      </w:r>
      <w:proofErr w:type="spellStart"/>
      <w:r w:rsidRPr="00AB38B9">
        <w:rPr>
          <w:bCs/>
          <w:iCs/>
          <w:sz w:val="23"/>
          <w:szCs w:val="23"/>
        </w:rPr>
        <w:t>porodice</w:t>
      </w:r>
      <w:proofErr w:type="spellEnd"/>
    </w:p>
    <w:p w:rsidR="0013141A" w:rsidRPr="00AB38B9" w:rsidRDefault="0013141A" w:rsidP="0013141A">
      <w:pPr>
        <w:pStyle w:val="Default"/>
        <w:ind w:left="60"/>
        <w:rPr>
          <w:bCs/>
          <w:iCs/>
          <w:sz w:val="23"/>
          <w:szCs w:val="23"/>
        </w:rPr>
      </w:pPr>
      <w:proofErr w:type="spellStart"/>
      <w:r>
        <w:rPr>
          <w:bCs/>
          <w:iCs/>
          <w:sz w:val="23"/>
          <w:szCs w:val="23"/>
        </w:rPr>
        <w:t>Podela</w:t>
      </w:r>
      <w:proofErr w:type="spellEnd"/>
      <w:r w:rsidRPr="00AB38B9">
        <w:rPr>
          <w:bCs/>
          <w:iCs/>
          <w:sz w:val="23"/>
          <w:szCs w:val="23"/>
        </w:rPr>
        <w:t xml:space="preserve"> </w:t>
      </w:r>
      <w:proofErr w:type="spellStart"/>
      <w:r w:rsidRPr="00AB38B9">
        <w:rPr>
          <w:bCs/>
          <w:iCs/>
          <w:sz w:val="23"/>
          <w:szCs w:val="23"/>
        </w:rPr>
        <w:t>rodnih</w:t>
      </w:r>
      <w:proofErr w:type="spellEnd"/>
      <w:r w:rsidRPr="00AB38B9">
        <w:rPr>
          <w:bCs/>
          <w:iCs/>
          <w:sz w:val="23"/>
          <w:szCs w:val="23"/>
        </w:rPr>
        <w:t xml:space="preserve"> </w:t>
      </w:r>
      <w:proofErr w:type="spellStart"/>
      <w:r w:rsidRPr="00AB38B9">
        <w:rPr>
          <w:bCs/>
          <w:iCs/>
          <w:sz w:val="23"/>
          <w:szCs w:val="23"/>
        </w:rPr>
        <w:t>uloga</w:t>
      </w:r>
      <w:proofErr w:type="spellEnd"/>
      <w:r>
        <w:rPr>
          <w:bCs/>
          <w:iCs/>
          <w:sz w:val="23"/>
          <w:szCs w:val="23"/>
        </w:rPr>
        <w:t xml:space="preserve"> </w:t>
      </w:r>
    </w:p>
    <w:p w:rsidR="0013141A" w:rsidRPr="00AB38B9" w:rsidRDefault="0013141A" w:rsidP="0013141A">
      <w:pPr>
        <w:pStyle w:val="Default"/>
        <w:ind w:left="60"/>
        <w:rPr>
          <w:bCs/>
          <w:iCs/>
          <w:sz w:val="23"/>
          <w:szCs w:val="23"/>
        </w:rPr>
      </w:pPr>
      <w:proofErr w:type="spellStart"/>
      <w:r>
        <w:rPr>
          <w:bCs/>
          <w:iCs/>
          <w:sz w:val="23"/>
          <w:szCs w:val="23"/>
        </w:rPr>
        <w:t>Odnos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prema</w:t>
      </w:r>
      <w:proofErr w:type="spellEnd"/>
      <w:r w:rsidRPr="00AB38B9"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abortusu</w:t>
      </w:r>
      <w:proofErr w:type="spellEnd"/>
      <w:r w:rsidRPr="00AB38B9">
        <w:rPr>
          <w:bCs/>
          <w:iCs/>
          <w:sz w:val="23"/>
          <w:szCs w:val="23"/>
        </w:rPr>
        <w:t xml:space="preserve"> </w:t>
      </w:r>
    </w:p>
    <w:p w:rsidR="0013141A" w:rsidRPr="00AB38B9" w:rsidRDefault="0013141A" w:rsidP="0013141A">
      <w:pPr>
        <w:pStyle w:val="Default"/>
        <w:ind w:left="60"/>
        <w:rPr>
          <w:bCs/>
          <w:iCs/>
          <w:sz w:val="23"/>
          <w:szCs w:val="23"/>
        </w:rPr>
      </w:pPr>
      <w:proofErr w:type="spellStart"/>
      <w:r>
        <w:rPr>
          <w:bCs/>
          <w:iCs/>
          <w:sz w:val="23"/>
          <w:szCs w:val="23"/>
        </w:rPr>
        <w:t>Odnos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prema</w:t>
      </w:r>
      <w:proofErr w:type="spellEnd"/>
      <w:r w:rsidRPr="00AB38B9"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razvodu</w:t>
      </w:r>
      <w:proofErr w:type="spellEnd"/>
    </w:p>
    <w:p w:rsidR="0013141A" w:rsidRPr="00AB38B9" w:rsidRDefault="0013141A" w:rsidP="0013141A">
      <w:pPr>
        <w:pStyle w:val="Default"/>
        <w:ind w:left="60"/>
        <w:rPr>
          <w:bCs/>
          <w:iCs/>
          <w:sz w:val="23"/>
          <w:szCs w:val="23"/>
        </w:rPr>
      </w:pPr>
      <w:proofErr w:type="spellStart"/>
      <w:r>
        <w:rPr>
          <w:bCs/>
          <w:iCs/>
          <w:sz w:val="23"/>
          <w:szCs w:val="23"/>
        </w:rPr>
        <w:t>Odnos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prema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vanbračnom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rađanju</w:t>
      </w:r>
      <w:proofErr w:type="spellEnd"/>
    </w:p>
    <w:p w:rsidR="0013141A" w:rsidRPr="00AB38B9" w:rsidRDefault="0013141A" w:rsidP="0013141A">
      <w:pPr>
        <w:pStyle w:val="Default"/>
        <w:ind w:left="60"/>
        <w:rPr>
          <w:bCs/>
          <w:iCs/>
          <w:sz w:val="23"/>
          <w:szCs w:val="23"/>
        </w:rPr>
      </w:pPr>
      <w:proofErr w:type="spellStart"/>
      <w:r>
        <w:rPr>
          <w:bCs/>
          <w:iCs/>
          <w:sz w:val="23"/>
          <w:szCs w:val="23"/>
        </w:rPr>
        <w:t>Odnos</w:t>
      </w:r>
      <w:proofErr w:type="spellEnd"/>
      <w:r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prema</w:t>
      </w:r>
      <w:proofErr w:type="spellEnd"/>
      <w:r w:rsidRPr="00AB38B9">
        <w:rPr>
          <w:bCs/>
          <w:iCs/>
          <w:sz w:val="23"/>
          <w:szCs w:val="23"/>
        </w:rPr>
        <w:t xml:space="preserve"> </w:t>
      </w:r>
      <w:proofErr w:type="spellStart"/>
      <w:r>
        <w:rPr>
          <w:bCs/>
          <w:iCs/>
          <w:sz w:val="23"/>
          <w:szCs w:val="23"/>
        </w:rPr>
        <w:t>autoritetima</w:t>
      </w:r>
      <w:proofErr w:type="spellEnd"/>
    </w:p>
    <w:p w:rsidR="0013141A" w:rsidRDefault="0013141A" w:rsidP="0013141A">
      <w:pPr>
        <w:pStyle w:val="Default"/>
        <w:rPr>
          <w:b/>
          <w:bCs/>
          <w:i/>
          <w:iCs/>
          <w:sz w:val="23"/>
          <w:szCs w:val="23"/>
        </w:rPr>
      </w:pPr>
    </w:p>
    <w:p w:rsidR="0013141A" w:rsidRDefault="0013141A" w:rsidP="0013141A">
      <w:pPr>
        <w:pStyle w:val="Default"/>
        <w:rPr>
          <w:b/>
          <w:bCs/>
          <w:i/>
          <w:iCs/>
          <w:sz w:val="23"/>
          <w:szCs w:val="23"/>
        </w:rPr>
      </w:pPr>
      <w:proofErr w:type="spellStart"/>
      <w:r>
        <w:rPr>
          <w:b/>
          <w:bCs/>
          <w:i/>
          <w:iCs/>
          <w:sz w:val="23"/>
          <w:szCs w:val="23"/>
        </w:rPr>
        <w:t>Vrednosti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preživljavanja</w:t>
      </w:r>
      <w:proofErr w:type="spellEnd"/>
      <w:r>
        <w:rPr>
          <w:b/>
          <w:bCs/>
          <w:i/>
          <w:iCs/>
          <w:sz w:val="23"/>
          <w:szCs w:val="23"/>
        </w:rPr>
        <w:t xml:space="preserve"> vs.</w:t>
      </w:r>
      <w:r w:rsidRPr="009526CC"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Vrednosti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samoaktuelizacije</w:t>
      </w:r>
      <w:proofErr w:type="spellEnd"/>
    </w:p>
    <w:p w:rsidR="0013141A" w:rsidRPr="009526CC" w:rsidRDefault="0013141A" w:rsidP="0013141A">
      <w:pPr>
        <w:pStyle w:val="Default"/>
        <w:rPr>
          <w:bCs/>
          <w:iCs/>
          <w:sz w:val="23"/>
          <w:szCs w:val="23"/>
        </w:rPr>
      </w:pPr>
      <w:proofErr w:type="spellStart"/>
      <w:r w:rsidRPr="009526CC">
        <w:rPr>
          <w:bCs/>
          <w:iCs/>
          <w:sz w:val="23"/>
          <w:szCs w:val="23"/>
        </w:rPr>
        <w:t>Odnos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prema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fizičkoj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sigurnosti</w:t>
      </w:r>
      <w:proofErr w:type="spellEnd"/>
    </w:p>
    <w:p w:rsidR="0013141A" w:rsidRPr="009526CC" w:rsidRDefault="0013141A" w:rsidP="0013141A">
      <w:pPr>
        <w:pStyle w:val="Default"/>
        <w:rPr>
          <w:bCs/>
          <w:iCs/>
          <w:sz w:val="23"/>
          <w:szCs w:val="23"/>
        </w:rPr>
      </w:pPr>
      <w:proofErr w:type="spellStart"/>
      <w:r w:rsidRPr="009526CC">
        <w:rPr>
          <w:bCs/>
          <w:iCs/>
          <w:sz w:val="23"/>
          <w:szCs w:val="23"/>
        </w:rPr>
        <w:t>Odnos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prema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ekonomskj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sigurnosti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</w:p>
    <w:p w:rsidR="0013141A" w:rsidRPr="009526CC" w:rsidRDefault="0013141A" w:rsidP="0013141A">
      <w:pPr>
        <w:pStyle w:val="Default"/>
        <w:rPr>
          <w:bCs/>
          <w:iCs/>
          <w:sz w:val="23"/>
          <w:szCs w:val="23"/>
        </w:rPr>
      </w:pPr>
      <w:proofErr w:type="spellStart"/>
      <w:r w:rsidRPr="009526CC">
        <w:rPr>
          <w:bCs/>
          <w:iCs/>
          <w:sz w:val="23"/>
          <w:szCs w:val="23"/>
        </w:rPr>
        <w:t>Odnos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prema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drugim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etničkim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grupama</w:t>
      </w:r>
      <w:proofErr w:type="spellEnd"/>
    </w:p>
    <w:p w:rsidR="0013141A" w:rsidRPr="009526CC" w:rsidRDefault="0013141A" w:rsidP="0013141A">
      <w:pPr>
        <w:pStyle w:val="Default"/>
        <w:rPr>
          <w:bCs/>
          <w:iCs/>
          <w:sz w:val="23"/>
          <w:szCs w:val="23"/>
        </w:rPr>
      </w:pPr>
      <w:proofErr w:type="spellStart"/>
      <w:r w:rsidRPr="009526CC">
        <w:rPr>
          <w:bCs/>
          <w:iCs/>
          <w:sz w:val="23"/>
          <w:szCs w:val="23"/>
        </w:rPr>
        <w:t>Poverenje</w:t>
      </w:r>
      <w:proofErr w:type="spellEnd"/>
      <w:r w:rsidRPr="009526CC">
        <w:rPr>
          <w:bCs/>
          <w:iCs/>
          <w:sz w:val="23"/>
          <w:szCs w:val="23"/>
        </w:rPr>
        <w:t xml:space="preserve"> u </w:t>
      </w:r>
      <w:proofErr w:type="spellStart"/>
      <w:r w:rsidRPr="009526CC">
        <w:rPr>
          <w:bCs/>
          <w:iCs/>
          <w:sz w:val="23"/>
          <w:szCs w:val="23"/>
        </w:rPr>
        <w:t>druge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ljude</w:t>
      </w:r>
      <w:proofErr w:type="spellEnd"/>
    </w:p>
    <w:p w:rsidR="0013141A" w:rsidRPr="009526CC" w:rsidRDefault="0013141A" w:rsidP="0013141A">
      <w:pPr>
        <w:pStyle w:val="Default"/>
        <w:rPr>
          <w:bCs/>
          <w:iCs/>
          <w:sz w:val="23"/>
          <w:szCs w:val="23"/>
        </w:rPr>
      </w:pPr>
      <w:proofErr w:type="spellStart"/>
      <w:r w:rsidRPr="009526CC">
        <w:rPr>
          <w:bCs/>
          <w:iCs/>
          <w:sz w:val="23"/>
          <w:szCs w:val="23"/>
        </w:rPr>
        <w:t>Tolerancija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prema</w:t>
      </w:r>
      <w:proofErr w:type="spellEnd"/>
      <w:r w:rsidRPr="009526CC">
        <w:rPr>
          <w:bCs/>
          <w:iCs/>
          <w:sz w:val="23"/>
          <w:szCs w:val="23"/>
        </w:rPr>
        <w:t xml:space="preserve"> </w:t>
      </w:r>
      <w:proofErr w:type="spellStart"/>
      <w:r w:rsidRPr="009526CC">
        <w:rPr>
          <w:bCs/>
          <w:iCs/>
          <w:sz w:val="23"/>
          <w:szCs w:val="23"/>
        </w:rPr>
        <w:t>drugima</w:t>
      </w:r>
      <w:proofErr w:type="spellEnd"/>
      <w:r w:rsidRPr="009526CC">
        <w:rPr>
          <w:bCs/>
          <w:iCs/>
          <w:sz w:val="23"/>
          <w:szCs w:val="23"/>
        </w:rPr>
        <w:t xml:space="preserve"> (</w:t>
      </w:r>
      <w:proofErr w:type="spellStart"/>
      <w:r w:rsidRPr="009526CC">
        <w:rPr>
          <w:bCs/>
          <w:iCs/>
          <w:sz w:val="23"/>
          <w:szCs w:val="23"/>
        </w:rPr>
        <w:t>strancima</w:t>
      </w:r>
      <w:proofErr w:type="spellEnd"/>
      <w:r w:rsidRPr="009526CC">
        <w:rPr>
          <w:bCs/>
          <w:iCs/>
          <w:sz w:val="23"/>
          <w:szCs w:val="23"/>
        </w:rPr>
        <w:t xml:space="preserve">, </w:t>
      </w:r>
      <w:proofErr w:type="spellStart"/>
      <w:r w:rsidRPr="009526CC">
        <w:rPr>
          <w:bCs/>
          <w:iCs/>
          <w:sz w:val="23"/>
          <w:szCs w:val="23"/>
        </w:rPr>
        <w:t>homoseksualcima</w:t>
      </w:r>
      <w:proofErr w:type="spellEnd"/>
      <w:r w:rsidRPr="009526CC">
        <w:rPr>
          <w:bCs/>
          <w:iCs/>
          <w:sz w:val="23"/>
          <w:szCs w:val="23"/>
        </w:rPr>
        <w:t>)</w:t>
      </w:r>
    </w:p>
    <w:p w:rsidR="0013141A" w:rsidRPr="009526CC" w:rsidRDefault="0013141A" w:rsidP="0013141A">
      <w:pPr>
        <w:pStyle w:val="Default"/>
        <w:rPr>
          <w:sz w:val="23"/>
          <w:szCs w:val="23"/>
        </w:rPr>
      </w:pPr>
      <w:proofErr w:type="spellStart"/>
      <w:r w:rsidRPr="009526CC">
        <w:rPr>
          <w:sz w:val="23"/>
          <w:szCs w:val="23"/>
        </w:rPr>
        <w:t>Odnos</w:t>
      </w:r>
      <w:proofErr w:type="spellEnd"/>
      <w:r w:rsidRPr="009526CC">
        <w:rPr>
          <w:sz w:val="23"/>
          <w:szCs w:val="23"/>
        </w:rPr>
        <w:t xml:space="preserve"> </w:t>
      </w:r>
      <w:proofErr w:type="spellStart"/>
      <w:r w:rsidRPr="009526CC">
        <w:rPr>
          <w:sz w:val="23"/>
          <w:szCs w:val="23"/>
        </w:rPr>
        <w:t>prema</w:t>
      </w:r>
      <w:proofErr w:type="spellEnd"/>
      <w:r w:rsidRPr="009526CC">
        <w:rPr>
          <w:sz w:val="23"/>
          <w:szCs w:val="23"/>
        </w:rPr>
        <w:t xml:space="preserve"> </w:t>
      </w:r>
      <w:proofErr w:type="spellStart"/>
      <w:r w:rsidRPr="009526CC">
        <w:rPr>
          <w:sz w:val="23"/>
          <w:szCs w:val="23"/>
        </w:rPr>
        <w:t>životnoj</w:t>
      </w:r>
      <w:proofErr w:type="spellEnd"/>
      <w:r w:rsidRPr="009526CC">
        <w:rPr>
          <w:sz w:val="23"/>
          <w:szCs w:val="23"/>
        </w:rPr>
        <w:t xml:space="preserve"> </w:t>
      </w:r>
      <w:proofErr w:type="spellStart"/>
      <w:r w:rsidRPr="009526CC">
        <w:rPr>
          <w:sz w:val="23"/>
          <w:szCs w:val="23"/>
        </w:rPr>
        <w:t>sredini</w:t>
      </w:r>
      <w:proofErr w:type="spellEnd"/>
    </w:p>
    <w:p w:rsidR="0013141A" w:rsidRPr="009526CC" w:rsidRDefault="0013141A" w:rsidP="0013141A">
      <w:pPr>
        <w:pStyle w:val="Default"/>
        <w:rPr>
          <w:sz w:val="23"/>
          <w:szCs w:val="23"/>
        </w:rPr>
      </w:pPr>
      <w:proofErr w:type="spellStart"/>
      <w:r w:rsidRPr="009526CC">
        <w:rPr>
          <w:sz w:val="23"/>
          <w:szCs w:val="23"/>
        </w:rPr>
        <w:t>Odnos</w:t>
      </w:r>
      <w:proofErr w:type="spellEnd"/>
      <w:r w:rsidRPr="009526CC">
        <w:rPr>
          <w:sz w:val="23"/>
          <w:szCs w:val="23"/>
        </w:rPr>
        <w:t xml:space="preserve"> </w:t>
      </w:r>
      <w:proofErr w:type="spellStart"/>
      <w:r w:rsidRPr="009526CC">
        <w:rPr>
          <w:sz w:val="23"/>
          <w:szCs w:val="23"/>
        </w:rPr>
        <w:t>prema</w:t>
      </w:r>
      <w:proofErr w:type="spellEnd"/>
      <w:r w:rsidRPr="009526CC">
        <w:rPr>
          <w:sz w:val="23"/>
          <w:szCs w:val="23"/>
        </w:rPr>
        <w:t xml:space="preserve"> </w:t>
      </w:r>
      <w:proofErr w:type="spellStart"/>
      <w:r w:rsidRPr="009526CC">
        <w:rPr>
          <w:sz w:val="23"/>
          <w:szCs w:val="23"/>
        </w:rPr>
        <w:t>rodnoj</w:t>
      </w:r>
      <w:proofErr w:type="spellEnd"/>
      <w:r w:rsidRPr="009526CC">
        <w:rPr>
          <w:sz w:val="23"/>
          <w:szCs w:val="23"/>
        </w:rPr>
        <w:t xml:space="preserve"> </w:t>
      </w:r>
      <w:proofErr w:type="spellStart"/>
      <w:r w:rsidRPr="009526CC">
        <w:rPr>
          <w:sz w:val="23"/>
          <w:szCs w:val="23"/>
        </w:rPr>
        <w:t>ravnopravnosti</w:t>
      </w:r>
      <w:proofErr w:type="spellEnd"/>
    </w:p>
    <w:p w:rsidR="0013141A" w:rsidRPr="009526CC" w:rsidRDefault="0013141A" w:rsidP="0013141A">
      <w:pPr>
        <w:pStyle w:val="Default"/>
        <w:rPr>
          <w:sz w:val="23"/>
          <w:szCs w:val="23"/>
        </w:rPr>
      </w:pPr>
      <w:proofErr w:type="spellStart"/>
      <w:r w:rsidRPr="009526CC">
        <w:rPr>
          <w:sz w:val="23"/>
          <w:szCs w:val="23"/>
        </w:rPr>
        <w:t>Odnos</w:t>
      </w:r>
      <w:proofErr w:type="spellEnd"/>
      <w:r w:rsidRPr="009526CC">
        <w:rPr>
          <w:sz w:val="23"/>
          <w:szCs w:val="23"/>
        </w:rPr>
        <w:t xml:space="preserve"> </w:t>
      </w:r>
      <w:proofErr w:type="spellStart"/>
      <w:r w:rsidRPr="009526CC">
        <w:rPr>
          <w:sz w:val="23"/>
          <w:szCs w:val="23"/>
        </w:rPr>
        <w:t>prema</w:t>
      </w:r>
      <w:proofErr w:type="spellEnd"/>
      <w:r w:rsidRPr="009526CC">
        <w:rPr>
          <w:sz w:val="23"/>
          <w:szCs w:val="23"/>
        </w:rPr>
        <w:t xml:space="preserve"> </w:t>
      </w:r>
      <w:proofErr w:type="spellStart"/>
      <w:r w:rsidRPr="009526CC">
        <w:rPr>
          <w:sz w:val="23"/>
          <w:szCs w:val="23"/>
        </w:rPr>
        <w:t>političkoj</w:t>
      </w:r>
      <w:proofErr w:type="spellEnd"/>
      <w:r w:rsidRPr="009526CC">
        <w:rPr>
          <w:sz w:val="23"/>
          <w:szCs w:val="23"/>
        </w:rPr>
        <w:t xml:space="preserve"> </w:t>
      </w:r>
      <w:proofErr w:type="spellStart"/>
      <w:r w:rsidRPr="009526CC">
        <w:rPr>
          <w:sz w:val="23"/>
          <w:szCs w:val="23"/>
        </w:rPr>
        <w:t>participaciji</w:t>
      </w:r>
      <w:proofErr w:type="spellEnd"/>
    </w:p>
    <w:p w:rsidR="0013141A" w:rsidRPr="00530BCE" w:rsidRDefault="0013141A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30BCE" w:rsidRDefault="004551D5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Na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grafikonima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prikazane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globalne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raspodele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ovih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vrednosnih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orijentacija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bookmarkStart w:id="0" w:name="_GoBack"/>
      <w:bookmarkEnd w:id="0"/>
    </w:p>
    <w:p w:rsidR="004551D5" w:rsidRPr="00530BCE" w:rsidRDefault="004551D5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30BCE" w:rsidRPr="00530BCE" w:rsidRDefault="00530BCE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BCE">
        <w:rPr>
          <w:rFonts w:ascii="Times New Roman" w:hAnsi="Times New Roman" w:cs="Times New Roman"/>
          <w:i/>
          <w:iCs/>
          <w:sz w:val="24"/>
          <w:szCs w:val="24"/>
        </w:rPr>
        <w:t>Porodica</w:t>
      </w:r>
      <w:proofErr w:type="spellEnd"/>
      <w:r w:rsidRPr="00530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i/>
          <w:iCs/>
          <w:sz w:val="24"/>
          <w:szCs w:val="24"/>
        </w:rPr>
        <w:t>vrednosti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Srbij</w:t>
      </w:r>
      <w:proofErr w:type="spellEnd"/>
      <w:r w:rsidRPr="00530BC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orijentacije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otpočinjanja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postsocijalističke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transformacije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pretrpele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modernizacijske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promene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obzira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efekte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krize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Poređenjem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1989.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2004.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Pešić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uočava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C0242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02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423">
        <w:rPr>
          <w:rFonts w:ascii="Times New Roman" w:hAnsi="Times New Roman" w:cs="Times New Roman"/>
          <w:sz w:val="24"/>
          <w:szCs w:val="24"/>
        </w:rPr>
        <w:t>tradicionalističke</w:t>
      </w:r>
      <w:proofErr w:type="spellEnd"/>
      <w:r w:rsidR="00C02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423">
        <w:rPr>
          <w:rFonts w:ascii="Times New Roman" w:hAnsi="Times New Roman" w:cs="Times New Roman"/>
          <w:sz w:val="24"/>
          <w:szCs w:val="24"/>
        </w:rPr>
        <w:t>vrednosne</w:t>
      </w:r>
      <w:proofErr w:type="spellEnd"/>
      <w:r w:rsidR="00C02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orijentacije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uvek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dominantne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da se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međuvremenu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stepen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njihovog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prihvatanja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smanjio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muškaraca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žena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ostao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to da se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promene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obrazaca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dešavaju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javnoj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sferi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njoj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zastupljeniji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muškarci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očekivano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većoj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meri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nosioci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promena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Pešić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, 2006: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BCE">
        <w:rPr>
          <w:rFonts w:ascii="Times New Roman" w:hAnsi="Times New Roman" w:cs="Times New Roman"/>
          <w:sz w:val="24"/>
          <w:szCs w:val="24"/>
        </w:rPr>
        <w:t xml:space="preserve">289–307).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30BCE">
        <w:rPr>
          <w:rFonts w:ascii="Times New Roman" w:hAnsi="Times New Roman" w:cs="Times New Roman"/>
          <w:sz w:val="24"/>
          <w:szCs w:val="24"/>
        </w:rPr>
        <w:t>odrazumevaju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orijentisanost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kolektivizmu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visok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skali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autoritarnosti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visok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stepen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patrijarhalnosti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o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patrijarhalnosti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podrazumeva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tradicionalno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shvaćenu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podelu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polova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distinkciju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privatno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odlučivanja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BC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: 1989.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čak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73,9%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populacije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patrijarhalno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orijentisano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, a 2004.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60,5% (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Pešić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, 2006).</w:t>
      </w:r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r w:rsidRPr="00530BCE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sličnih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dolaze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Lazić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Cvejić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(2004),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poredeći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obrasce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1989.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2003.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izvesnog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opadanja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tradicionalističkih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merenih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stepenom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patrijarhalnosti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autoritarnosti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ukazujući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modernizacijske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efekte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postsocijalizma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nacionalizam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zadržao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visok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prisutnosti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(pa se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povećao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ideje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liberalizma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BC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prihvatale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sporo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značajnim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oprezom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utiču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unutarporodične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govoriti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promenama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idu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pravcu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rodne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generacijske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asimetrije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promene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očigledne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njihovi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nosioci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manjini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ukupnoj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populaciji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bave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vrednostima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ispitivanje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stavova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porodičnim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odnosima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ukazuju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to da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poslednjoj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deceniji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dvadesetog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prvoj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deceniji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veka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dominira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izraženo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vrednovanje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unutarporodičnog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autoriteta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prisutna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roditeljska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požrtvovanost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decu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Maksić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Pavlović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BCE">
        <w:rPr>
          <w:rFonts w:ascii="Times New Roman" w:hAnsi="Times New Roman" w:cs="Times New Roman"/>
          <w:sz w:val="24"/>
          <w:szCs w:val="24"/>
        </w:rPr>
        <w:t xml:space="preserve">2009: 265). Do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sličnih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dolazi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Blagojević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(1997),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baveći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problemom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roditeljstva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istražujući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populacije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majke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njenim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rezultatima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trećine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ispitanica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izražene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tradicionalističke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dodatnih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60%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heterogene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11,4%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modernističkom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spektru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. Kao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Pešićeve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tip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naselja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B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selo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niži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nivoi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velikoj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meri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koreliraju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patrijarhalnim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vrednostima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.</w:t>
      </w:r>
    </w:p>
    <w:p w:rsidR="00745D3C" w:rsidRPr="00530BCE" w:rsidRDefault="00530BCE" w:rsidP="00530B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pokazuju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značajnu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gotovo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nezamenljivu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grupu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pojedinca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srpskom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društvu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BCE">
        <w:rPr>
          <w:rFonts w:ascii="Times New Roman" w:hAnsi="Times New Roman" w:cs="Times New Roman"/>
          <w:sz w:val="24"/>
          <w:szCs w:val="24"/>
        </w:rPr>
        <w:t xml:space="preserve">2003.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porodica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važna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?“,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96%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odgovorilo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pozitivno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(83% da je „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važna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0,9%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odgovorilo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da je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nimalo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važna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Milić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prepoznaje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lastRenderedPageBreak/>
        <w:t>nezamenljivosti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okvira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funkcionisanja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jedne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se o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ideološkoj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svesti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kulturne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tradicije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BCE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dodatno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dobila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značaju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krize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usled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realnih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resursima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materijalnim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socijalnim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emocionalnim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pojavljuje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najbitniji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neretko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jedini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oslonac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pojedincu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Milić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2004: 334).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populacije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patrijarhalne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podela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moći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sl.) pod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patrijarhalnim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uticajima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doživljaj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međusobna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njenih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pretežno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modernistička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. Tri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četvrtine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njihovi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porodični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uspesi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modernog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porodičnog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habitusa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podrazumeva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okvir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zadovoljstva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ispunjenja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0B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i/>
          <w:iCs/>
          <w:sz w:val="24"/>
          <w:szCs w:val="24"/>
        </w:rPr>
        <w:t>unutrašnjem</w:t>
      </w:r>
      <w:proofErr w:type="spellEnd"/>
      <w:r w:rsidRPr="00530B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i/>
          <w:iCs/>
          <w:sz w:val="24"/>
          <w:szCs w:val="24"/>
        </w:rPr>
        <w:t>intimnom</w:t>
      </w:r>
      <w:proofErr w:type="spellEnd"/>
      <w:r w:rsidRPr="00530B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30BCE">
        <w:rPr>
          <w:rFonts w:ascii="Times New Roman" w:hAnsi="Times New Roman" w:cs="Times New Roman"/>
          <w:i/>
          <w:iCs/>
          <w:sz w:val="24"/>
          <w:szCs w:val="24"/>
        </w:rPr>
        <w:t>ličnom</w:t>
      </w:r>
      <w:proofErr w:type="spellEnd"/>
      <w:r w:rsidRPr="00530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530B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i/>
          <w:iCs/>
          <w:sz w:val="24"/>
          <w:szCs w:val="24"/>
        </w:rPr>
        <w:t>interakcijskom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i/>
          <w:iCs/>
          <w:sz w:val="24"/>
          <w:szCs w:val="24"/>
        </w:rPr>
        <w:t>planu</w:t>
      </w:r>
      <w:proofErr w:type="spellEnd"/>
      <w:r w:rsidRPr="00530BC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Daleko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manji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populacije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(12%)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porodicu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vezuje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tradicionalne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ugled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proofErr w:type="gramStart"/>
      <w:r w:rsidRPr="00530BC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530BC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poštovanje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autoriteta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BCE">
        <w:rPr>
          <w:rFonts w:ascii="Times New Roman" w:hAnsi="Times New Roman" w:cs="Times New Roman"/>
          <w:sz w:val="24"/>
          <w:szCs w:val="24"/>
        </w:rPr>
        <w:t>porodici</w:t>
      </w:r>
      <w:proofErr w:type="spellEnd"/>
      <w:r w:rsidRPr="00530BCE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BCE">
        <w:rPr>
          <w:rFonts w:ascii="Times New Roman" w:hAnsi="Times New Roman" w:cs="Times New Roman"/>
          <w:sz w:val="24"/>
          <w:szCs w:val="24"/>
        </w:rPr>
        <w:t>(</w:t>
      </w:r>
      <w:r w:rsidRPr="00530BCE">
        <w:rPr>
          <w:rFonts w:ascii="Times New Roman" w:hAnsi="Times New Roman" w:cs="Times New Roman"/>
          <w:i/>
          <w:iCs/>
          <w:sz w:val="24"/>
          <w:szCs w:val="24"/>
        </w:rPr>
        <w:t>Ibid.</w:t>
      </w:r>
      <w:r w:rsidRPr="00530BCE">
        <w:rPr>
          <w:rFonts w:ascii="Times New Roman" w:hAnsi="Times New Roman" w:cs="Times New Roman"/>
          <w:sz w:val="24"/>
          <w:szCs w:val="24"/>
        </w:rPr>
        <w:t>: 337).</w:t>
      </w:r>
    </w:p>
    <w:sectPr w:rsidR="00745D3C" w:rsidRPr="0053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F0AD3"/>
    <w:multiLevelType w:val="hybridMultilevel"/>
    <w:tmpl w:val="E440032A"/>
    <w:lvl w:ilvl="0" w:tplc="B13E0E3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F986EF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2065EC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E78E57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706C35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B10C92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306E4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F3AD83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F28C6B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CE"/>
    <w:rsid w:val="0013141A"/>
    <w:rsid w:val="00141C99"/>
    <w:rsid w:val="00191B0E"/>
    <w:rsid w:val="00235179"/>
    <w:rsid w:val="00327977"/>
    <w:rsid w:val="004551D5"/>
    <w:rsid w:val="00493C4F"/>
    <w:rsid w:val="00530BCE"/>
    <w:rsid w:val="00593214"/>
    <w:rsid w:val="006E76A6"/>
    <w:rsid w:val="00745D3C"/>
    <w:rsid w:val="0079202D"/>
    <w:rsid w:val="007E500F"/>
    <w:rsid w:val="008041A8"/>
    <w:rsid w:val="008F47FE"/>
    <w:rsid w:val="00C02423"/>
    <w:rsid w:val="00E86897"/>
    <w:rsid w:val="00F5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DDFFF-CB16-4F1E-814D-555C9045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1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24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76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11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3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4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55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21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010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48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75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stanojevic</dc:creator>
  <cp:keywords/>
  <dc:description/>
  <cp:lastModifiedBy>dragan stanojevic</cp:lastModifiedBy>
  <cp:revision>2</cp:revision>
  <dcterms:created xsi:type="dcterms:W3CDTF">2020-03-24T16:31:00Z</dcterms:created>
  <dcterms:modified xsi:type="dcterms:W3CDTF">2020-03-24T18:42:00Z</dcterms:modified>
</cp:coreProperties>
</file>